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Lettable standard for empty homes (2026)</w:t>
      </w:r>
    </w:p>
    <w:p>
      <w:pPr>
        <w:pStyle w:val="Heading2"/>
      </w:pPr>
      <w:r>
        <w:t xml:space="preserve">Before a new tenant moves in</w:t>
      </w:r>
    </w:p>
    <w:p>
      <w:pPr>
        <w:pStyle w:val="Normal"/>
      </w:pPr>
      <w:r>
        <w:t xml:space="preserve">Every empty home gets a gas and electrical safety check, a deep clean, and any repairs that would otherwise be reported in the first month.</w:t>
      </w:r>
    </w:p>
    <w:p>
      <w:pPr>
        <w:pStyle w:val="Heading2"/>
      </w:pPr>
      <w:r>
        <w:t xml:space="preserve">Decoration</w:t>
      </w:r>
    </w:p>
    <w:p>
      <w:pPr>
        <w:pStyle w:val="Normal"/>
      </w:pPr>
      <w:r>
        <w:t xml:space="preserve">We decorate kitchens and bathrooms where needed. New tenants can claim decoration vouchers for other rooms.</w:t>
      </w:r>
    </w:p>
    <w:p>
      <w:pPr>
        <w:pStyle w:val="Heading2"/>
      </w:pPr>
      <w:r>
        <w:t xml:space="preserve">Target time</w:t>
      </w:r>
    </w:p>
    <w:p>
      <w:pPr>
        <w:pStyle w:val="Normal"/>
      </w:pPr>
      <w:r>
        <w:t xml:space="preserve">The target is 20 calendar days from keys back to the home being ready to let.</w:t>
      </w:r>
    </w:p>
    <w:sectPr/>
  </w:body>
</w:document>
</file>