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Merrowdale &amp; District Youth League: resolutions carried at the annual general meeting, 14 November 2026</w:t>
      </w:r>
    </w:p>
    <w:p>
      <w:r>
        <w:rPr>
          <w:i/>
        </w:rPr>
        <w:t xml:space="preserve">Circulated to club secretaries with the winter window confirmation of 16 November 2026.</w:t>
      </w:r>
    </w:p>
    <w:p>
      <w:r>
        <w:t xml:space="preserve">1. The accounts for 2025-26 are received and adopted.</w:t>
      </w:r>
    </w:p>
    <w:p>
      <w:r>
        <w:t xml:space="preserve">2. The officers are re-elected unopposed.</w:t>
      </w:r>
    </w:p>
    <w:p>
      <w:r>
        <w:t xml:space="preserve">3. Club affiliation fees rise by 5% from 1 August 2027.</w:t>
      </w:r>
    </w:p>
    <w:p>
      <w:r>
        <w:t xml:space="preserve">4. The referees' fee for youth matches stays at 30 pounds.</w:t>
      </w:r>
    </w:p>
    <w:p>
      <w:r>
        <w:t xml:space="preserve">5. Clubs must name a welfare officer on their league entry from 2027-28.</w:t>
      </w:r>
    </w:p>
    <w:p>
      <w:r>
        <w:t xml:space="preserve">6. The league's respect code is reissued without change.</w:t>
      </w:r>
    </w:p>
    <w:p>
      <w:r>
        <w:t xml:space="preserve">7. Rule 4.2 is amended: from the 2026-27 winter window, U16 squads may register up to 18 players; every other age group stays at 16 players.</w:t>
      </w:r>
    </w:p>
    <w:p>
      <w:r>
        <w:t xml:space="preserve">8. The cup draw moves to January.</w:t>
      </w:r>
    </w:p>
    <w:p>
      <w:r>
        <w:t xml:space="preserve">9. The fines tariff is confirmed without change.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Merrowdale &amp; District Youth League: resolutions carried at the annual general meeting, 14 November 2026</dc:title>
  <dc:creator>Merrowdale &amp; District Youth League</dc:creator>
  <dcterms:created xsi:type="dcterms:W3CDTF">2026-11-15T10:00:00Z</dcterms:created>
</cp:coreProperties>
</file>