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ED408 — FILE KEEPING</w:t>
      </w:r>
    </w:p>
    <w:p>
      <w:pPr>
        <w:jc w:val="center"/>
      </w:pPr>
      <w:r>
        <w:t>Experiment No. 12: Kernel PCA on a Nonlinear Dataset</w:t>
      </w:r>
    </w:p>
    <w:p>
      <w:pPr>
        <w:pStyle w:val="Heading1"/>
      </w:pPr>
      <w:r>
        <w:t>1. Problem + Algorithm</w:t>
      </w:r>
    </w:p>
    <w:p>
      <w:pPr>
        <w:pStyle w:val="Heading2"/>
      </w:pPr>
      <w:r>
        <w:t>Title</w:t>
      </w:r>
    </w:p>
    <w:p>
      <w:pPr/>
      <w:r>
        <w:t>Kernel Principal Component Analysis (Kernel PCA) for nonlinear structure visualization.</w:t>
      </w:r>
    </w:p>
    <w:p>
      <w:pPr>
        <w:pStyle w:val="Heading2"/>
      </w:pPr>
      <w:r>
        <w:t>Aim</w:t>
      </w:r>
    </w:p>
    <w:p>
      <w:pPr/>
      <w:r>
        <w:t>To apply Kernel PCA to a nonlinear dataset and compare its low-dimensional representation with ordinary PCA, while studying how kernel parameters influence the embedding.</w:t>
      </w:r>
    </w:p>
    <w:p>
      <w:pPr>
        <w:pStyle w:val="Heading2"/>
      </w:pPr>
      <w:r>
        <w:t>Problem Statement</w:t>
      </w:r>
    </w:p>
    <w:p>
      <w:pPr/>
      <w:r>
        <w:t>The half-moons dataset contains two interleaving nonlinear classes. Ordinary PCA uses linear projections, while Kernel PCA uses a kernel similarity function to represent nonlinear structure in a transformed feature space. Compare embeddings and study parameter effects.</w:t>
      </w:r>
    </w:p>
    <w:p>
      <w:pPr>
        <w:pStyle w:val="Heading2"/>
      </w:pPr>
      <w:r>
        <w:t>Dataset and Preprocessing</w:t>
      </w:r>
    </w:p>
    <w:p>
      <w:pPr>
        <w:pStyle w:val="ListBullet"/>
      </w:pPr>
      <w:r>
        <w:t>Dataset: make_moons generated with 600 samples, noise=0.08, random_state=42.</w:t>
      </w:r>
    </w:p>
    <w:p>
      <w:pPr>
        <w:pStyle w:val="ListBullet"/>
      </w:pPr>
      <w:r>
        <w:t>Use a stratified 75/25 train/test split.</w:t>
      </w:r>
    </w:p>
    <w:p>
      <w:pPr>
        <w:pStyle w:val="ListBullet"/>
      </w:pPr>
      <w:r>
        <w:t>StandardScaler is fitted only on training features and then applied to the held-out test features.</w:t>
      </w:r>
    </w:p>
    <w:p>
      <w:pPr>
        <w:pStyle w:val="ListBullet"/>
      </w:pPr>
      <w:r>
        <w:t>Kernel PCA is unsupervised; class labels are used only to color plots and compute a diagnostic silhouette score.</w:t>
      </w:r>
    </w:p>
    <w:p>
      <w:pPr>
        <w:pStyle w:val="Heading2"/>
      </w:pPr>
      <w:r>
        <w:t>Algorithm</w:t>
      </w:r>
    </w:p>
    <w:p>
      <w:pPr>
        <w:pStyle w:val="ListNumber"/>
      </w:pPr>
      <w:r>
        <w:t>Generate the nonlinear make_moons dataset and split it into training and test sets.</w:t>
      </w:r>
    </w:p>
    <w:p>
      <w:pPr>
        <w:pStyle w:val="ListNumber"/>
      </w:pPr>
      <w:r>
        <w:t>Standardize features using statistics learned from the training data.</w:t>
      </w:r>
    </w:p>
    <w:p>
      <w:pPr>
        <w:pStyle w:val="ListNumber"/>
      </w:pPr>
      <w:r>
        <w:t>Fit ordinary PCA with two components and plot its embedding.</w:t>
      </w:r>
    </w:p>
    <w:p>
      <w:pPr>
        <w:pStyle w:val="ListNumber"/>
      </w:pPr>
      <w:r>
        <w:t>Fit RBF Kernel PCA with two components and compare the resulting visualization.</w:t>
      </w:r>
    </w:p>
    <w:p>
      <w:pPr>
        <w:pStyle w:val="ListNumber"/>
      </w:pPr>
      <w:r>
        <w:t>Vary RBF gamma over 0.1, 0.5, 1, 2, 5, 10, and 20; plot embeddings and calculate label-based silhouette scores.</w:t>
      </w:r>
    </w:p>
    <w:p>
      <w:pPr>
        <w:pStyle w:val="ListNumber"/>
      </w:pPr>
      <w:r>
        <w:t>Compare linear, RBF, and polynomial kernels; vary polynomial degree from 2 to 4.</w:t>
      </w:r>
    </w:p>
    <w:p>
      <w:pPr>
        <w:pStyle w:val="ListNumber"/>
      </w:pPr>
      <w:r>
        <w:t>Optionally fit an RBF-SVM to original standardized features and to the Kernel PCA representation, then compare held-out test accuracy.</w:t>
      </w:r>
    </w:p>
    <w:p>
      <w:pPr>
        <w:pStyle w:val="ListNumber"/>
      </w:pPr>
      <w:r>
        <w:t>Interpret results from plots and metrics, distinguishing unsupervised dimensionality reduction from supervised classification.</w:t>
      </w:r>
    </w:p>
    <w:p>
      <w:pPr>
        <w:pStyle w:val="Heading1"/>
      </w:pPr>
      <w:r>
        <w:t>2. Program</w:t>
      </w:r>
    </w:p>
    <w:p>
      <w:pPr/>
      <w:r>
        <w:t>Executable notebook: Q12_Kernel_PCA_Nonlinear_Dataset.ipynb</w:t>
      </w:r>
    </w:p>
    <w:p>
      <w:pPr/>
      <w:r>
        <w:t>Libraries: NumPy, pandas, Matplotlib, and scikit-learn.</w:t>
      </w:r>
    </w:p>
    <w:tbl>
      <w:tblPr>
        <w:tblStyle w:val="TableGrid"/>
        <w:tblW w:type="auto" w:w="0"/>
        <w:tblLook w:firstColumn="1" w:firstRow="1" w:lastColumn="0" w:lastRow="0" w:noHBand="0" w:noVBand="1" w:val="04A0"/>
      </w:tblPr>
      <w:tblGrid>
        <w:gridCol w:w="5040"/>
        <w:gridCol w:w="5040"/>
      </w:tblGrid>
      <w:tr>
        <w:tc>
          <w:tcPr>
            <w:tcW w:type="dxa" w:w="5040"/>
            <w:shd w:fill="D9EAF7"/>
          </w:tcPr>
          <w:p>
            <w:r>
              <w:rPr>
                <w:rFonts w:ascii="Times New Roman" w:hAnsi="Times New Roman"/>
                <w:b/>
                <w:sz w:val="18"/>
              </w:rPr>
              <w:t>Parameter / method</w:t>
            </w:r>
          </w:p>
        </w:tc>
        <w:tc>
          <w:tcPr>
            <w:tcW w:type="dxa" w:w="5040"/>
            <w:shd w:fill="D9EAF7"/>
          </w:tcPr>
          <w:p>
            <w:r>
              <w:rPr>
                <w:rFonts w:ascii="Times New Roman" w:hAnsi="Times New Roman"/>
                <w:b/>
                <w:sz w:val="18"/>
              </w:rPr>
              <w:t>Role</w:t>
            </w:r>
          </w:p>
        </w:tc>
      </w:tr>
      <w:tr>
        <w:tc>
          <w:tcPr>
            <w:tcW w:type="dxa" w:w="5040"/>
          </w:tcPr>
          <w:p>
            <w:r>
              <w:rPr>
                <w:rFonts w:ascii="Times New Roman" w:hAnsi="Times New Roman"/>
                <w:sz w:val="18"/>
              </w:rPr>
              <w:t>PCA</w:t>
            </w:r>
          </w:p>
        </w:tc>
        <w:tc>
          <w:tcPr>
            <w:tcW w:type="dxa" w:w="5040"/>
          </w:tcPr>
          <w:p>
            <w:r>
              <w:rPr>
                <w:rFonts w:ascii="Times New Roman" w:hAnsi="Times New Roman"/>
                <w:sz w:val="18"/>
              </w:rPr>
              <w:t>Linear dimensionality reduction baseline.</w:t>
            </w:r>
          </w:p>
        </w:tc>
      </w:tr>
      <w:tr>
        <w:tc>
          <w:tcPr>
            <w:tcW w:type="dxa" w:w="5040"/>
          </w:tcPr>
          <w:p>
            <w:r>
              <w:rPr>
                <w:rFonts w:ascii="Times New Roman" w:hAnsi="Times New Roman"/>
                <w:sz w:val="18"/>
              </w:rPr>
              <w:t>Kernel PCA with RBF</w:t>
            </w:r>
          </w:p>
        </w:tc>
        <w:tc>
          <w:tcPr>
            <w:tcW w:type="dxa" w:w="5040"/>
          </w:tcPr>
          <w:p>
            <w:r>
              <w:rPr>
                <w:rFonts w:ascii="Times New Roman" w:hAnsi="Times New Roman"/>
                <w:sz w:val="18"/>
              </w:rPr>
              <w:t>Nonlinear dimensionality reduction using Gaussian/RBF similarity.</w:t>
            </w:r>
          </w:p>
        </w:tc>
      </w:tr>
      <w:tr>
        <w:tc>
          <w:tcPr>
            <w:tcW w:type="dxa" w:w="5040"/>
          </w:tcPr>
          <w:p>
            <w:r>
              <w:rPr>
                <w:rFonts w:ascii="Times New Roman" w:hAnsi="Times New Roman"/>
                <w:sz w:val="18"/>
              </w:rPr>
              <w:t>gamma</w:t>
            </w:r>
          </w:p>
        </w:tc>
        <w:tc>
          <w:tcPr>
            <w:tcW w:type="dxa" w:w="5040"/>
          </w:tcPr>
          <w:p>
            <w:r>
              <w:rPr>
                <w:rFonts w:ascii="Times New Roman" w:hAnsi="Times New Roman"/>
                <w:sz w:val="18"/>
              </w:rPr>
              <w:t>Controls locality of RBF similarity; larger values make similarity more localized.</w:t>
            </w:r>
          </w:p>
        </w:tc>
      </w:tr>
      <w:tr>
        <w:tc>
          <w:tcPr>
            <w:tcW w:type="dxa" w:w="5040"/>
          </w:tcPr>
          <w:p>
            <w:r>
              <w:rPr>
                <w:rFonts w:ascii="Times New Roman" w:hAnsi="Times New Roman"/>
                <w:sz w:val="18"/>
              </w:rPr>
              <w:t>kernel</w:t>
            </w:r>
          </w:p>
        </w:tc>
        <w:tc>
          <w:tcPr>
            <w:tcW w:type="dxa" w:w="5040"/>
          </w:tcPr>
          <w:p>
            <w:r>
              <w:rPr>
                <w:rFonts w:ascii="Times New Roman" w:hAnsi="Times New Roman"/>
                <w:sz w:val="18"/>
              </w:rPr>
              <w:t>Selects linear, RBF, or polynomial similarity.</w:t>
            </w:r>
          </w:p>
        </w:tc>
      </w:tr>
      <w:tr>
        <w:tc>
          <w:tcPr>
            <w:tcW w:type="dxa" w:w="5040"/>
          </w:tcPr>
          <w:p>
            <w:r>
              <w:rPr>
                <w:rFonts w:ascii="Times New Roman" w:hAnsi="Times New Roman"/>
                <w:sz w:val="18"/>
              </w:rPr>
              <w:t>degree</w:t>
            </w:r>
          </w:p>
        </w:tc>
        <w:tc>
          <w:tcPr>
            <w:tcW w:type="dxa" w:w="5040"/>
          </w:tcPr>
          <w:p>
            <w:r>
              <w:rPr>
                <w:rFonts w:ascii="Times New Roman" w:hAnsi="Times New Roman"/>
                <w:sz w:val="18"/>
              </w:rPr>
              <w:t>Polynomial-kernel degree; larger degree permits more complex similarity patterns.</w:t>
            </w:r>
          </w:p>
        </w:tc>
      </w:tr>
      <w:tr>
        <w:tc>
          <w:tcPr>
            <w:tcW w:type="dxa" w:w="5040"/>
          </w:tcPr>
          <w:p>
            <w:r>
              <w:rPr>
                <w:rFonts w:ascii="Times New Roman" w:hAnsi="Times New Roman"/>
                <w:sz w:val="18"/>
              </w:rPr>
              <w:t>Silhouette score</w:t>
            </w:r>
          </w:p>
        </w:tc>
        <w:tc>
          <w:tcPr>
            <w:tcW w:type="dxa" w:w="5040"/>
          </w:tcPr>
          <w:p>
            <w:r>
              <w:rPr>
                <w:rFonts w:ascii="Times New Roman" w:hAnsi="Times New Roman"/>
                <w:sz w:val="18"/>
              </w:rPr>
              <w:t>Diagnostic for how well the known class labels cluster in the embedding; not used to fit Kernel PCA.</w:t>
            </w:r>
          </w:p>
        </w:tc>
      </w:tr>
      <w:tr>
        <w:tc>
          <w:tcPr>
            <w:tcW w:type="dxa" w:w="5040"/>
          </w:tcPr>
          <w:p>
            <w:r>
              <w:rPr>
                <w:rFonts w:ascii="Times New Roman" w:hAnsi="Times New Roman"/>
                <w:sz w:val="18"/>
              </w:rPr>
              <w:t>Optional SVM accuracy</w:t>
            </w:r>
          </w:p>
        </w:tc>
        <w:tc>
          <w:tcPr>
            <w:tcW w:type="dxa" w:w="5040"/>
          </w:tcPr>
          <w:p>
            <w:r>
              <w:rPr>
                <w:rFonts w:ascii="Times New Roman" w:hAnsi="Times New Roman"/>
                <w:sz w:val="18"/>
              </w:rPr>
              <w:t>Evaluates a downstream classification task, not Kernel PCA directly.</w:t>
            </w:r>
          </w:p>
        </w:tc>
      </w:tr>
    </w:tbl>
    <w:p/>
    <w:p/>
    <w:p>
      <w:pPr>
        <w:pStyle w:val="Heading1"/>
      </w:pPr>
      <w:r>
        <w:t>3. Output + Analysis</w:t>
      </w:r>
    </w:p>
    <w:p>
      <w:pPr/>
      <w:r>
        <w:t>The notebook generates scatter plots for the original data, ordinary PCA, RBF Kernel PCA, several gamma values, and multiple kernel settings. It also prints silhouette diagnostics and optional held-out SVM accuracy. Numerical outputs are produced by running the notebook and are not pre-filled here.</w:t>
      </w:r>
    </w:p>
    <w:p>
      <w:pPr>
        <w:pStyle w:val="Heading2"/>
      </w:pPr>
      <w:r>
        <w:t>Parameter Modification and Interpretation</w:t>
      </w:r>
    </w:p>
    <w:tbl>
      <w:tblPr>
        <w:tblStyle w:val="TableGrid"/>
        <w:tblW w:type="auto" w:w="0"/>
        <w:tblLook w:firstColumn="1" w:firstRow="1" w:lastColumn="0" w:lastRow="0" w:noHBand="0" w:noVBand="1" w:val="04A0"/>
      </w:tblPr>
      <w:tblGrid>
        <w:gridCol w:w="3360"/>
        <w:gridCol w:w="3360"/>
        <w:gridCol w:w="3360"/>
      </w:tblGrid>
      <w:tr>
        <w:tc>
          <w:tcPr>
            <w:tcW w:type="dxa" w:w="3360"/>
            <w:shd w:fill="D9EAF7"/>
          </w:tcPr>
          <w:p>
            <w:r>
              <w:rPr>
                <w:rFonts w:ascii="Times New Roman" w:hAnsi="Times New Roman"/>
                <w:b/>
                <w:sz w:val="18"/>
              </w:rPr>
              <w:t>Experiment</w:t>
            </w:r>
          </w:p>
        </w:tc>
        <w:tc>
          <w:tcPr>
            <w:tcW w:type="dxa" w:w="3360"/>
            <w:shd w:fill="D9EAF7"/>
          </w:tcPr>
          <w:p>
            <w:r>
              <w:rPr>
                <w:rFonts w:ascii="Times New Roman" w:hAnsi="Times New Roman"/>
                <w:b/>
                <w:sz w:val="18"/>
              </w:rPr>
              <w:t>Values compared</w:t>
            </w:r>
          </w:p>
        </w:tc>
        <w:tc>
          <w:tcPr>
            <w:tcW w:type="dxa" w:w="3360"/>
            <w:shd w:fill="D9EAF7"/>
          </w:tcPr>
          <w:p>
            <w:r>
              <w:rPr>
                <w:rFonts w:ascii="Times New Roman" w:hAnsi="Times New Roman"/>
                <w:b/>
                <w:sz w:val="18"/>
              </w:rPr>
              <w:t>What to observe / interpret</w:t>
            </w:r>
          </w:p>
        </w:tc>
      </w:tr>
      <w:tr>
        <w:tc>
          <w:tcPr>
            <w:tcW w:type="dxa" w:w="3360"/>
          </w:tcPr>
          <w:p>
            <w:r>
              <w:rPr>
                <w:rFonts w:ascii="Times New Roman" w:hAnsi="Times New Roman"/>
                <w:sz w:val="18"/>
              </w:rPr>
              <w:t>PCA vs Kernel PCA</w:t>
            </w:r>
          </w:p>
        </w:tc>
        <w:tc>
          <w:tcPr>
            <w:tcW w:type="dxa" w:w="3360"/>
          </w:tcPr>
          <w:p>
            <w:r>
              <w:rPr>
                <w:rFonts w:ascii="Times New Roman" w:hAnsi="Times New Roman"/>
                <w:sz w:val="18"/>
              </w:rPr>
              <w:t>Ordinary PCA vs RBF Kernel PCA (gamma=5)</w:t>
            </w:r>
          </w:p>
        </w:tc>
        <w:tc>
          <w:tcPr>
            <w:tcW w:type="dxa" w:w="3360"/>
          </w:tcPr>
          <w:p>
            <w:r>
              <w:rPr>
                <w:rFonts w:ascii="Times New Roman" w:hAnsi="Times New Roman"/>
                <w:sz w:val="18"/>
              </w:rPr>
              <w:t>Check whether the nonlinear embedding better reveals the two half-moon groups.</w:t>
            </w:r>
          </w:p>
        </w:tc>
      </w:tr>
      <w:tr>
        <w:tc>
          <w:tcPr>
            <w:tcW w:type="dxa" w:w="3360"/>
          </w:tcPr>
          <w:p>
            <w:r>
              <w:rPr>
                <w:rFonts w:ascii="Times New Roman" w:hAnsi="Times New Roman"/>
                <w:sz w:val="18"/>
              </w:rPr>
              <w:t>RBF gamma</w:t>
            </w:r>
          </w:p>
        </w:tc>
        <w:tc>
          <w:tcPr>
            <w:tcW w:type="dxa" w:w="3360"/>
          </w:tcPr>
          <w:p>
            <w:r>
              <w:rPr>
                <w:rFonts w:ascii="Times New Roman" w:hAnsi="Times New Roman"/>
                <w:sz w:val="18"/>
              </w:rPr>
              <w:t>0.1, 0.5, 1, 2, 5, 10, 20</w:t>
            </w:r>
          </w:p>
        </w:tc>
        <w:tc>
          <w:tcPr>
            <w:tcW w:type="dxa" w:w="3360"/>
          </w:tcPr>
          <w:p>
            <w:r>
              <w:rPr>
                <w:rFonts w:ascii="Times New Roman" w:hAnsi="Times New Roman"/>
                <w:sz w:val="18"/>
              </w:rPr>
              <w:t>Low gamma is smoother/broader; high gamma is more local. Excessively small or large values can create less useful embeddings.</w:t>
            </w:r>
          </w:p>
        </w:tc>
      </w:tr>
      <w:tr>
        <w:tc>
          <w:tcPr>
            <w:tcW w:type="dxa" w:w="3360"/>
          </w:tcPr>
          <w:p>
            <w:r>
              <w:rPr>
                <w:rFonts w:ascii="Times New Roman" w:hAnsi="Times New Roman"/>
                <w:sz w:val="18"/>
              </w:rPr>
              <w:t>Kernel type</w:t>
            </w:r>
          </w:p>
        </w:tc>
        <w:tc>
          <w:tcPr>
            <w:tcW w:type="dxa" w:w="3360"/>
          </w:tcPr>
          <w:p>
            <w:r>
              <w:rPr>
                <w:rFonts w:ascii="Times New Roman" w:hAnsi="Times New Roman"/>
                <w:sz w:val="18"/>
              </w:rPr>
              <w:t>Linear, RBF, polynomial</w:t>
            </w:r>
          </w:p>
        </w:tc>
        <w:tc>
          <w:tcPr>
            <w:tcW w:type="dxa" w:w="3360"/>
          </w:tcPr>
          <w:p>
            <w:r>
              <w:rPr>
                <w:rFonts w:ascii="Times New Roman" w:hAnsi="Times New Roman"/>
                <w:sz w:val="18"/>
              </w:rPr>
              <w:t>Compare geometry and silhouette diagnostics.</w:t>
            </w:r>
          </w:p>
        </w:tc>
      </w:tr>
      <w:tr>
        <w:tc>
          <w:tcPr>
            <w:tcW w:type="dxa" w:w="3360"/>
          </w:tcPr>
          <w:p>
            <w:r>
              <w:rPr>
                <w:rFonts w:ascii="Times New Roman" w:hAnsi="Times New Roman"/>
                <w:sz w:val="18"/>
              </w:rPr>
              <w:t>Polynomial degree</w:t>
            </w:r>
          </w:p>
        </w:tc>
        <w:tc>
          <w:tcPr>
            <w:tcW w:type="dxa" w:w="3360"/>
          </w:tcPr>
          <w:p>
            <w:r>
              <w:rPr>
                <w:rFonts w:ascii="Times New Roman" w:hAnsi="Times New Roman"/>
                <w:sz w:val="18"/>
              </w:rPr>
              <w:t>2, 3, 4</w:t>
            </w:r>
          </w:p>
        </w:tc>
        <w:tc>
          <w:tcPr>
            <w:tcW w:type="dxa" w:w="3360"/>
          </w:tcPr>
          <w:p>
            <w:r>
              <w:rPr>
                <w:rFonts w:ascii="Times New Roman" w:hAnsi="Times New Roman"/>
                <w:sz w:val="18"/>
              </w:rPr>
              <w:t>Higher degree changes the shape/complexity of polynomial similarity and may alter class separation.</w:t>
            </w:r>
          </w:p>
        </w:tc>
      </w:tr>
      <w:tr>
        <w:tc>
          <w:tcPr>
            <w:tcW w:type="dxa" w:w="3360"/>
          </w:tcPr>
          <w:p>
            <w:r>
              <w:rPr>
                <w:rFonts w:ascii="Times New Roman" w:hAnsi="Times New Roman"/>
                <w:sz w:val="18"/>
              </w:rPr>
              <w:t>Optional classification</w:t>
            </w:r>
          </w:p>
        </w:tc>
        <w:tc>
          <w:tcPr>
            <w:tcW w:type="dxa" w:w="3360"/>
          </w:tcPr>
          <w:p>
            <w:r>
              <w:rPr>
                <w:rFonts w:ascii="Times New Roman" w:hAnsi="Times New Roman"/>
                <w:sz w:val="18"/>
              </w:rPr>
              <w:t>SVM on original features vs SVM after 2D Kernel PCA</w:t>
            </w:r>
          </w:p>
        </w:tc>
        <w:tc>
          <w:tcPr>
            <w:tcW w:type="dxa" w:w="3360"/>
          </w:tcPr>
          <w:p>
            <w:r>
              <w:rPr>
                <w:rFonts w:ascii="Times New Roman" w:hAnsi="Times New Roman"/>
                <w:sz w:val="18"/>
              </w:rPr>
              <w:t>Compare held-out accuracy, while noting dimensionality reduction may discard useful information.</w:t>
            </w:r>
          </w:p>
        </w:tc>
      </w:tr>
    </w:tbl>
    <w:p/>
    <w:p/>
    <w:p>
      <w:pPr>
        <w:pStyle w:val="Heading2"/>
      </w:pPr>
      <w:r>
        <w:t>Graphs</w:t>
      </w:r>
    </w:p>
    <w:p>
      <w:pPr>
        <w:pStyle w:val="ListBullet"/>
      </w:pPr>
      <w:r>
        <w:t>Original data scatter plot: shows the nonlinear half-moons structure.</w:t>
      </w:r>
    </w:p>
    <w:p>
      <w:pPr>
        <w:pStyle w:val="ListBullet"/>
      </w:pPr>
      <w:r>
        <w:t>PCA and Kernel PCA side-by-side: compares linear and nonlinear embeddings.</w:t>
      </w:r>
    </w:p>
    <w:p>
      <w:pPr>
        <w:pStyle w:val="ListBullet"/>
      </w:pPr>
      <w:r>
        <w:t>Gamma comparison line plot: shows label-based silhouette score versus gamma.</w:t>
      </w:r>
    </w:p>
    <w:p>
      <w:pPr>
        <w:pStyle w:val="ListBullet"/>
      </w:pPr>
      <w:r>
        <w:t>Embedding grid: visually compares different gamma and kernel/degree settings.</w:t>
      </w:r>
    </w:p>
    <w:p>
      <w:pPr>
        <w:pStyle w:val="Heading2"/>
      </w:pPr>
      <w:r>
        <w:t>Interpretation of the SVM Accuracy Results</w:t>
      </w:r>
    </w:p>
    <w:p>
      <w:pPr/>
      <w:r>
        <w:t>Observed output: SVM on original standardized features achieved 0.9933 (99.33%) test accuracy, while SVM after Kernel PCA achieved 0.9467 (94.67%). The decrease is 0.0466, or 4.66 percentage points. With 150 test observations, this corresponds to 149 correct predictions versus 142 correct predictions, respectively.</w:t>
      </w:r>
    </w:p>
    <w:p>
      <w:pPr/>
      <w:r>
        <w:t>Why accuracy can decrease: Kernel PCA is an unsupervised dimensionality-reduction method. It constructs components to represent kernel-based data structure, not to maximize class separation for a later classifier. Even though the number of components is two, the transformed representation can change the geometry relevant to the SVM. An RBF-SVM can already model the nonlinear half-moon boundary in the original feature space, so applying Kernel PCA first is not guaranteed to improve accuracy.</w:t>
      </w:r>
    </w:p>
    <w:p>
      <w:pPr/>
      <w:r>
        <w:t>Parameter influence: the Kernel PCA gamma controls the locality of the RBF similarity used to create the embedding. The SVM has its own C and gamma parameters, which control margin/error trade-offs and decision-boundary flexibility. These parameters serve different purposes and should be tuned using cross-validation; do not choose them based on the final test set.</w:t>
      </w:r>
    </w:p>
    <w:p>
      <w:pPr/>
      <w:r>
        <w:t>Suggested follow-up: compare Kernel PCA gamma values (for example, 0.1, 0.5, 1, 2, 5, 10, and 20), then tune SVM C and gamma using cross-validation. Keep the test set reserved for a final unbiased evaluation. Report the actual results rather than assuming another setting must perform better.</w:t>
      </w:r>
    </w:p>
    <w:p>
      <w:pPr/>
      <w:r>
        <w:t>Report-ready interpretation: “The SVM trained on the original standardized features achieved 99.33% test accuracy, whereas the SVM trained on the Kernel PCA representation achieved 94.67%. This suggests that the Kernel PCA transformation did not improve class separability for this downstream classifier under the tested settings. Kernel PCA is unsupervised and does not directly optimize classification accuracy; therefore, nonlinear dimensionality reduction may reduce useful information for a classifier even when the original data are nonlinear.”</w:t>
      </w:r>
    </w:p>
    <w:p>
      <w:pPr>
        <w:pStyle w:val="Heading2"/>
      </w:pPr>
      <w:r>
        <w:t>Measured Output from the Executed Notebook</w:t>
      </w:r>
    </w:p>
    <w:p>
      <w:pPr/>
      <w:r>
        <w:t>Dataset split: 600 samples with 2 features; 450 training samples and 150 test samples. Ordinary PCA explained variance ratios were 0.70732858 and 0.29267142 (approximately 70.73% and 29.27%).</w:t>
      </w:r>
    </w:p>
    <w:p>
      <w:pPr>
        <w:pStyle w:val="Heading2"/>
      </w:pPr>
      <w:r>
        <w:t>RBF gamma experiment: label-based silhouette diagnostic</w:t>
      </w:r>
    </w:p>
    <w:tbl>
      <w:tblPr>
        <w:tblStyle w:val="TableGrid"/>
        <w:tblW w:type="auto" w:w="0"/>
        <w:tblLook w:firstColumn="1" w:firstRow="1" w:lastColumn="0" w:lastRow="0" w:noHBand="0" w:noVBand="1" w:val="04A0"/>
      </w:tblPr>
      <w:tblGrid>
        <w:gridCol w:w="5040"/>
        <w:gridCol w:w="5040"/>
      </w:tblGrid>
      <w:tr>
        <w:tc>
          <w:tcPr>
            <w:tcW w:type="dxa" w:w="5040"/>
            <w:shd w:fill="D9EAF7"/>
          </w:tcPr>
          <w:p>
            <w:r>
              <w:rPr>
                <w:rFonts w:ascii="Times New Roman" w:hAnsi="Times New Roman"/>
                <w:b/>
                <w:sz w:val="18"/>
              </w:rPr>
              <w:t>RBF gamma</w:t>
            </w:r>
          </w:p>
        </w:tc>
        <w:tc>
          <w:tcPr>
            <w:tcW w:type="dxa" w:w="5040"/>
            <w:shd w:fill="D9EAF7"/>
          </w:tcPr>
          <w:p>
            <w:r>
              <w:rPr>
                <w:rFonts w:ascii="Times New Roman" w:hAnsi="Times New Roman"/>
                <w:b/>
                <w:sz w:val="18"/>
              </w:rPr>
              <w:t>Label silhouette (diagnostic)</w:t>
            </w:r>
          </w:p>
        </w:tc>
      </w:tr>
      <w:tr>
        <w:tc>
          <w:tcPr>
            <w:tcW w:type="dxa" w:w="5040"/>
          </w:tcPr>
          <w:p>
            <w:r>
              <w:rPr>
                <w:rFonts w:ascii="Times New Roman" w:hAnsi="Times New Roman"/>
                <w:sz w:val="18"/>
              </w:rPr>
              <w:t>0.1</w:t>
            </w:r>
          </w:p>
        </w:tc>
        <w:tc>
          <w:tcPr>
            <w:tcW w:type="dxa" w:w="5040"/>
          </w:tcPr>
          <w:p>
            <w:r>
              <w:rPr>
                <w:rFonts w:ascii="Times New Roman" w:hAnsi="Times New Roman"/>
                <w:sz w:val="18"/>
              </w:rPr>
              <w:t>0.3764</w:t>
            </w:r>
          </w:p>
        </w:tc>
      </w:tr>
      <w:tr>
        <w:tc>
          <w:tcPr>
            <w:tcW w:type="dxa" w:w="5040"/>
          </w:tcPr>
          <w:p>
            <w:r>
              <w:rPr>
                <w:rFonts w:ascii="Times New Roman" w:hAnsi="Times New Roman"/>
                <w:sz w:val="18"/>
              </w:rPr>
              <w:t>0.5</w:t>
            </w:r>
          </w:p>
        </w:tc>
        <w:tc>
          <w:tcPr>
            <w:tcW w:type="dxa" w:w="5040"/>
          </w:tcPr>
          <w:p>
            <w:r>
              <w:rPr>
                <w:rFonts w:ascii="Times New Roman" w:hAnsi="Times New Roman"/>
                <w:sz w:val="18"/>
              </w:rPr>
              <w:t>0.3555</w:t>
            </w:r>
          </w:p>
        </w:tc>
      </w:tr>
      <w:tr>
        <w:tc>
          <w:tcPr>
            <w:tcW w:type="dxa" w:w="5040"/>
          </w:tcPr>
          <w:p>
            <w:r>
              <w:rPr>
                <w:rFonts w:ascii="Times New Roman" w:hAnsi="Times New Roman"/>
                <w:sz w:val="18"/>
              </w:rPr>
              <w:t>1</w:t>
            </w:r>
          </w:p>
        </w:tc>
        <w:tc>
          <w:tcPr>
            <w:tcW w:type="dxa" w:w="5040"/>
          </w:tcPr>
          <w:p>
            <w:r>
              <w:rPr>
                <w:rFonts w:ascii="Times New Roman" w:hAnsi="Times New Roman"/>
                <w:sz w:val="18"/>
              </w:rPr>
              <w:t>0.3384</w:t>
            </w:r>
          </w:p>
        </w:tc>
      </w:tr>
      <w:tr>
        <w:tc>
          <w:tcPr>
            <w:tcW w:type="dxa" w:w="5040"/>
          </w:tcPr>
          <w:p>
            <w:r>
              <w:rPr>
                <w:rFonts w:ascii="Times New Roman" w:hAnsi="Times New Roman"/>
                <w:sz w:val="18"/>
              </w:rPr>
              <w:t>2</w:t>
            </w:r>
          </w:p>
        </w:tc>
        <w:tc>
          <w:tcPr>
            <w:tcW w:type="dxa" w:w="5040"/>
          </w:tcPr>
          <w:p>
            <w:r>
              <w:rPr>
                <w:rFonts w:ascii="Times New Roman" w:hAnsi="Times New Roman"/>
                <w:sz w:val="18"/>
              </w:rPr>
              <w:t>0.3611</w:t>
            </w:r>
          </w:p>
        </w:tc>
      </w:tr>
      <w:tr>
        <w:tc>
          <w:tcPr>
            <w:tcW w:type="dxa" w:w="5040"/>
          </w:tcPr>
          <w:p>
            <w:r>
              <w:rPr>
                <w:rFonts w:ascii="Times New Roman" w:hAnsi="Times New Roman"/>
                <w:sz w:val="18"/>
              </w:rPr>
              <w:t>5</w:t>
            </w:r>
          </w:p>
        </w:tc>
        <w:tc>
          <w:tcPr>
            <w:tcW w:type="dxa" w:w="5040"/>
          </w:tcPr>
          <w:p>
            <w:r>
              <w:rPr>
                <w:rFonts w:ascii="Times New Roman" w:hAnsi="Times New Roman"/>
                <w:sz w:val="18"/>
              </w:rPr>
              <w:t>0.3022</w:t>
            </w:r>
          </w:p>
        </w:tc>
      </w:tr>
      <w:tr>
        <w:tc>
          <w:tcPr>
            <w:tcW w:type="dxa" w:w="5040"/>
          </w:tcPr>
          <w:p>
            <w:r>
              <w:rPr>
                <w:rFonts w:ascii="Times New Roman" w:hAnsi="Times New Roman"/>
                <w:sz w:val="18"/>
              </w:rPr>
              <w:t>10</w:t>
            </w:r>
          </w:p>
        </w:tc>
        <w:tc>
          <w:tcPr>
            <w:tcW w:type="dxa" w:w="5040"/>
          </w:tcPr>
          <w:p>
            <w:r>
              <w:rPr>
                <w:rFonts w:ascii="Times New Roman" w:hAnsi="Times New Roman"/>
                <w:sz w:val="18"/>
              </w:rPr>
              <w:t>0.2432</w:t>
            </w:r>
          </w:p>
        </w:tc>
      </w:tr>
      <w:tr>
        <w:tc>
          <w:tcPr>
            <w:tcW w:type="dxa" w:w="5040"/>
          </w:tcPr>
          <w:p>
            <w:r>
              <w:rPr>
                <w:rFonts w:ascii="Times New Roman" w:hAnsi="Times New Roman"/>
                <w:sz w:val="18"/>
              </w:rPr>
              <w:t>20</w:t>
            </w:r>
          </w:p>
        </w:tc>
        <w:tc>
          <w:tcPr>
            <w:tcW w:type="dxa" w:w="5040"/>
          </w:tcPr>
          <w:p>
            <w:r>
              <w:rPr>
                <w:rFonts w:ascii="Times New Roman" w:hAnsi="Times New Roman"/>
                <w:sz w:val="18"/>
              </w:rPr>
              <w:t>0.1343</w:t>
            </w:r>
          </w:p>
        </w:tc>
      </w:tr>
    </w:tbl>
    <w:p/>
    <w:p>
      <w:pPr/>
      <w:r>
        <w:t>Interpretation: gamma=0.1 gave the highest measured silhouette score (0.3764) among the tested RBF settings; gamma=20 gave the lowest (0.1343). The diagnostic score generally decreased at larger gamma values in this run, although gamma=2 scored higher than gamma=1. This suggests the more localized kernels tested here did not yield a better label-separated 2D embedding. The score uses labels only for post-hoc assessment; Kernel PCA itself remains unsupervised.</w:t>
      </w:r>
    </w:p>
    <w:p>
      <w:pPr>
        <w:pStyle w:val="Heading2"/>
      </w:pPr>
      <w:r>
        <w:t>Kernel type and polynomial degree comparison</w:t>
      </w:r>
    </w:p>
    <w:tbl>
      <w:tblPr>
        <w:tblStyle w:val="TableGrid"/>
        <w:tblW w:type="auto" w:w="0"/>
        <w:tblLook w:firstColumn="1" w:firstRow="1" w:lastColumn="0" w:lastRow="0" w:noHBand="0" w:noVBand="1" w:val="04A0"/>
      </w:tblPr>
      <w:tblGrid>
        <w:gridCol w:w="5040"/>
        <w:gridCol w:w="5040"/>
      </w:tblGrid>
      <w:tr>
        <w:tc>
          <w:tcPr>
            <w:tcW w:type="dxa" w:w="5040"/>
            <w:shd w:fill="D9EAF7"/>
          </w:tcPr>
          <w:p>
            <w:r>
              <w:rPr>
                <w:rFonts w:ascii="Times New Roman" w:hAnsi="Times New Roman"/>
                <w:b/>
                <w:sz w:val="18"/>
              </w:rPr>
              <w:t>Kernel setting</w:t>
            </w:r>
          </w:p>
        </w:tc>
        <w:tc>
          <w:tcPr>
            <w:tcW w:type="dxa" w:w="5040"/>
            <w:shd w:fill="D9EAF7"/>
          </w:tcPr>
          <w:p>
            <w:r>
              <w:rPr>
                <w:rFonts w:ascii="Times New Roman" w:hAnsi="Times New Roman"/>
                <w:b/>
                <w:sz w:val="18"/>
              </w:rPr>
              <w:t>Label silhouette (diagnostic)</w:t>
            </w:r>
          </w:p>
        </w:tc>
      </w:tr>
      <w:tr>
        <w:tc>
          <w:tcPr>
            <w:tcW w:type="dxa" w:w="5040"/>
          </w:tcPr>
          <w:p>
            <w:r>
              <w:rPr>
                <w:rFonts w:ascii="Times New Roman" w:hAnsi="Times New Roman"/>
                <w:sz w:val="18"/>
              </w:rPr>
              <w:t>Linear</w:t>
            </w:r>
          </w:p>
        </w:tc>
        <w:tc>
          <w:tcPr>
            <w:tcW w:type="dxa" w:w="5040"/>
          </w:tcPr>
          <w:p>
            <w:r>
              <w:rPr>
                <w:rFonts w:ascii="Times New Roman" w:hAnsi="Times New Roman"/>
                <w:sz w:val="18"/>
              </w:rPr>
              <w:t>0.3762</w:t>
            </w:r>
          </w:p>
        </w:tc>
      </w:tr>
      <w:tr>
        <w:tc>
          <w:tcPr>
            <w:tcW w:type="dxa" w:w="5040"/>
          </w:tcPr>
          <w:p>
            <w:r>
              <w:rPr>
                <w:rFonts w:ascii="Times New Roman" w:hAnsi="Times New Roman"/>
                <w:sz w:val="18"/>
              </w:rPr>
              <w:t>RBF gamma=0.5</w:t>
            </w:r>
          </w:p>
        </w:tc>
        <w:tc>
          <w:tcPr>
            <w:tcW w:type="dxa" w:w="5040"/>
          </w:tcPr>
          <w:p>
            <w:r>
              <w:rPr>
                <w:rFonts w:ascii="Times New Roman" w:hAnsi="Times New Roman"/>
                <w:sz w:val="18"/>
              </w:rPr>
              <w:t>0.3555</w:t>
            </w:r>
          </w:p>
        </w:tc>
      </w:tr>
      <w:tr>
        <w:tc>
          <w:tcPr>
            <w:tcW w:type="dxa" w:w="5040"/>
          </w:tcPr>
          <w:p>
            <w:r>
              <w:rPr>
                <w:rFonts w:ascii="Times New Roman" w:hAnsi="Times New Roman"/>
                <w:sz w:val="18"/>
              </w:rPr>
              <w:t>RBF gamma=2</w:t>
            </w:r>
          </w:p>
        </w:tc>
        <w:tc>
          <w:tcPr>
            <w:tcW w:type="dxa" w:w="5040"/>
          </w:tcPr>
          <w:p>
            <w:r>
              <w:rPr>
                <w:rFonts w:ascii="Times New Roman" w:hAnsi="Times New Roman"/>
                <w:sz w:val="18"/>
              </w:rPr>
              <w:t>0.3611</w:t>
            </w:r>
          </w:p>
        </w:tc>
      </w:tr>
      <w:tr>
        <w:tc>
          <w:tcPr>
            <w:tcW w:type="dxa" w:w="5040"/>
          </w:tcPr>
          <w:p>
            <w:r>
              <w:rPr>
                <w:rFonts w:ascii="Times New Roman" w:hAnsi="Times New Roman"/>
                <w:sz w:val="18"/>
              </w:rPr>
              <w:t>RBF gamma=5</w:t>
            </w:r>
          </w:p>
        </w:tc>
        <w:tc>
          <w:tcPr>
            <w:tcW w:type="dxa" w:w="5040"/>
          </w:tcPr>
          <w:p>
            <w:r>
              <w:rPr>
                <w:rFonts w:ascii="Times New Roman" w:hAnsi="Times New Roman"/>
                <w:sz w:val="18"/>
              </w:rPr>
              <w:t>0.3022</w:t>
            </w:r>
          </w:p>
        </w:tc>
      </w:tr>
      <w:tr>
        <w:tc>
          <w:tcPr>
            <w:tcW w:type="dxa" w:w="5040"/>
          </w:tcPr>
          <w:p>
            <w:r>
              <w:rPr>
                <w:rFonts w:ascii="Times New Roman" w:hAnsi="Times New Roman"/>
                <w:sz w:val="18"/>
              </w:rPr>
              <w:t>Polynomial degree=2, gamma=1</w:t>
            </w:r>
          </w:p>
        </w:tc>
        <w:tc>
          <w:tcPr>
            <w:tcW w:type="dxa" w:w="5040"/>
          </w:tcPr>
          <w:p>
            <w:r>
              <w:rPr>
                <w:rFonts w:ascii="Times New Roman" w:hAnsi="Times New Roman"/>
                <w:sz w:val="18"/>
              </w:rPr>
              <w:t>0.3291</w:t>
            </w:r>
          </w:p>
        </w:tc>
      </w:tr>
      <w:tr>
        <w:tc>
          <w:tcPr>
            <w:tcW w:type="dxa" w:w="5040"/>
          </w:tcPr>
          <w:p>
            <w:r>
              <w:rPr>
                <w:rFonts w:ascii="Times New Roman" w:hAnsi="Times New Roman"/>
                <w:sz w:val="18"/>
              </w:rPr>
              <w:t>Polynomial degree=3, gamma=1</w:t>
            </w:r>
          </w:p>
        </w:tc>
        <w:tc>
          <w:tcPr>
            <w:tcW w:type="dxa" w:w="5040"/>
          </w:tcPr>
          <w:p>
            <w:r>
              <w:rPr>
                <w:rFonts w:ascii="Times New Roman" w:hAnsi="Times New Roman"/>
                <w:sz w:val="18"/>
              </w:rPr>
              <w:t>0.3272</w:t>
            </w:r>
          </w:p>
        </w:tc>
      </w:tr>
      <w:tr>
        <w:tc>
          <w:tcPr>
            <w:tcW w:type="dxa" w:w="5040"/>
          </w:tcPr>
          <w:p>
            <w:r>
              <w:rPr>
                <w:rFonts w:ascii="Times New Roman" w:hAnsi="Times New Roman"/>
                <w:sz w:val="18"/>
              </w:rPr>
              <w:t>Polynomial degree=4, gamma=1</w:t>
            </w:r>
          </w:p>
        </w:tc>
        <w:tc>
          <w:tcPr>
            <w:tcW w:type="dxa" w:w="5040"/>
          </w:tcPr>
          <w:p>
            <w:r>
              <w:rPr>
                <w:rFonts w:ascii="Times New Roman" w:hAnsi="Times New Roman"/>
                <w:sz w:val="18"/>
              </w:rPr>
              <w:t>0.3066</w:t>
            </w:r>
          </w:p>
        </w:tc>
      </w:tr>
    </w:tbl>
    <w:p/>
    <w:p>
      <w:pPr/>
      <w:r>
        <w:t>Interpretation: the linear kernel scored 0.3762, nearly matching the best RBF setting (gamma=0.1, score 0.3764). The polynomial settings scored lower, and the score decreased from degree 2 (0.3291) to degree 4 (0.3066). For this dataset and configuration, the tested nonlinear kernels did not produce a higher silhouette score than the best tested setting. This does not mean Kernel PCA is generally ineffective; it shows parameter choice and dataset structure matter.</w:t>
      </w:r>
    </w:p>
    <w:p>
      <w:pPr>
        <w:pStyle w:val="Heading2"/>
      </w:pPr>
      <w:r>
        <w:t>Optional downstream SVM classification result</w:t>
      </w:r>
    </w:p>
    <w:tbl>
      <w:tblPr>
        <w:tblStyle w:val="TableGrid"/>
        <w:tblW w:type="auto" w:w="0"/>
        <w:tblLook w:firstColumn="1" w:firstRow="1" w:lastColumn="0" w:lastRow="0" w:noHBand="0" w:noVBand="1" w:val="04A0"/>
      </w:tblPr>
      <w:tblGrid>
        <w:gridCol w:w="2520"/>
        <w:gridCol w:w="2520"/>
        <w:gridCol w:w="2520"/>
        <w:gridCol w:w="2520"/>
      </w:tblGrid>
      <w:tr>
        <w:tc>
          <w:tcPr>
            <w:tcW w:type="dxa" w:w="2520"/>
            <w:shd w:fill="D9EAF7"/>
          </w:tcPr>
          <w:p>
            <w:r>
              <w:rPr>
                <w:rFonts w:ascii="Times New Roman" w:hAnsi="Times New Roman"/>
                <w:b/>
                <w:sz w:val="18"/>
              </w:rPr>
              <w:t>Pipeline</w:t>
            </w:r>
          </w:p>
        </w:tc>
        <w:tc>
          <w:tcPr>
            <w:tcW w:type="dxa" w:w="2520"/>
            <w:shd w:fill="D9EAF7"/>
          </w:tcPr>
          <w:p>
            <w:r>
              <w:rPr>
                <w:rFonts w:ascii="Times New Roman" w:hAnsi="Times New Roman"/>
                <w:b/>
                <w:sz w:val="18"/>
              </w:rPr>
              <w:t>Test accuracy</w:t>
            </w:r>
          </w:p>
        </w:tc>
        <w:tc>
          <w:tcPr>
            <w:tcW w:type="dxa" w:w="2520"/>
            <w:shd w:fill="D9EAF7"/>
          </w:tcPr>
          <w:p>
            <w:r>
              <w:rPr>
                <w:rFonts w:ascii="Times New Roman" w:hAnsi="Times New Roman"/>
                <w:b/>
                <w:sz w:val="18"/>
              </w:rPr>
              <w:t>Correct / total</w:t>
            </w:r>
          </w:p>
        </w:tc>
        <w:tc>
          <w:tcPr>
            <w:tcW w:type="dxa" w:w="2520"/>
            <w:shd w:fill="D9EAF7"/>
          </w:tcPr>
          <w:p>
            <w:r>
              <w:rPr>
                <w:rFonts w:ascii="Times New Roman" w:hAnsi="Times New Roman"/>
                <w:b/>
                <w:sz w:val="18"/>
              </w:rPr>
              <w:t>Incorrect</w:t>
            </w:r>
          </w:p>
        </w:tc>
      </w:tr>
      <w:tr>
        <w:tc>
          <w:tcPr>
            <w:tcW w:type="dxa" w:w="2520"/>
          </w:tcPr>
          <w:p>
            <w:r>
              <w:rPr>
                <w:rFonts w:ascii="Times New Roman" w:hAnsi="Times New Roman"/>
                <w:sz w:val="18"/>
              </w:rPr>
              <w:t>SVM on original standardized features</w:t>
            </w:r>
          </w:p>
        </w:tc>
        <w:tc>
          <w:tcPr>
            <w:tcW w:type="dxa" w:w="2520"/>
          </w:tcPr>
          <w:p>
            <w:r>
              <w:rPr>
                <w:rFonts w:ascii="Times New Roman" w:hAnsi="Times New Roman"/>
                <w:sz w:val="18"/>
              </w:rPr>
              <w:t>0.9933 (99.33%)</w:t>
            </w:r>
          </w:p>
        </w:tc>
        <w:tc>
          <w:tcPr>
            <w:tcW w:type="dxa" w:w="2520"/>
          </w:tcPr>
          <w:p>
            <w:r>
              <w:rPr>
                <w:rFonts w:ascii="Times New Roman" w:hAnsi="Times New Roman"/>
                <w:sz w:val="18"/>
              </w:rPr>
              <w:t>149 / 150</w:t>
            </w:r>
          </w:p>
        </w:tc>
        <w:tc>
          <w:tcPr>
            <w:tcW w:type="dxa" w:w="2520"/>
          </w:tcPr>
          <w:p>
            <w:r>
              <w:rPr>
                <w:rFonts w:ascii="Times New Roman" w:hAnsi="Times New Roman"/>
                <w:sz w:val="18"/>
              </w:rPr>
              <w:t>1</w:t>
            </w:r>
          </w:p>
        </w:tc>
      </w:tr>
      <w:tr>
        <w:tc>
          <w:tcPr>
            <w:tcW w:type="dxa" w:w="2520"/>
          </w:tcPr>
          <w:p>
            <w:r>
              <w:rPr>
                <w:rFonts w:ascii="Times New Roman" w:hAnsi="Times New Roman"/>
                <w:sz w:val="18"/>
              </w:rPr>
              <w:t>SVM after Kernel PCA (2 components, RBF gamma=5)</w:t>
            </w:r>
          </w:p>
        </w:tc>
        <w:tc>
          <w:tcPr>
            <w:tcW w:type="dxa" w:w="2520"/>
          </w:tcPr>
          <w:p>
            <w:r>
              <w:rPr>
                <w:rFonts w:ascii="Times New Roman" w:hAnsi="Times New Roman"/>
                <w:sz w:val="18"/>
              </w:rPr>
              <w:t>0.9467 (94.67%)</w:t>
            </w:r>
          </w:p>
        </w:tc>
        <w:tc>
          <w:tcPr>
            <w:tcW w:type="dxa" w:w="2520"/>
          </w:tcPr>
          <w:p>
            <w:r>
              <w:rPr>
                <w:rFonts w:ascii="Times New Roman" w:hAnsi="Times New Roman"/>
                <w:sz w:val="18"/>
              </w:rPr>
              <w:t>142 / 150</w:t>
            </w:r>
          </w:p>
        </w:tc>
        <w:tc>
          <w:tcPr>
            <w:tcW w:type="dxa" w:w="2520"/>
          </w:tcPr>
          <w:p>
            <w:r>
              <w:rPr>
                <w:rFonts w:ascii="Times New Roman" w:hAnsi="Times New Roman"/>
                <w:sz w:val="18"/>
              </w:rPr>
              <w:t>8</w:t>
            </w:r>
          </w:p>
        </w:tc>
      </w:tr>
    </w:tbl>
    <w:p/>
    <w:p>
      <w:pPr/>
      <w:r>
        <w:t>Interpretation of accuracy decrease: accuracy fell by 4.66 percentage points, from 99.33% to 94.67%, which corresponds to 7 additional errors on the 150-row test set. Kernel PCA is unsupervised and does not optimize class separation for the later SVM. The transformed two-component representation changed the geometry relevant to the classifier; the original RBF-SVM already handled the nonlinear half-moon boundary very well. Therefore, adding Kernel PCA did not help this particular downstream classification setup.</w:t>
      </w:r>
    </w:p>
    <w:p>
      <w:pPr>
        <w:pStyle w:val="Heading2"/>
      </w:pPr>
      <w:r>
        <w:t>Importance of the parameter changes</w:t>
      </w:r>
    </w:p>
    <w:p>
      <w:pPr/>
      <w:r>
        <w:t>The gamma experiment shows why kernel parameters must be tested rather than selected by intuition: gamma controls the locality of RBF similarity and can materially change the embedding. Kernel type and polynomial degree similarly change the geometry represented by Kernel PCA. The SVM accuracy comparison also shows that a visually meaningful or nonlinear embedding is not automatically a better representation for prediction. If classification is the ultimate goal, tune Kernel PCA and SVM parameters using cross-validation and reserve the test set for final evaluation. The silhouette scores and accuracy measure different things and should not be treated as interchangeable.</w:t>
      </w:r>
    </w:p>
    <w:p>
      <w:pPr>
        <w:pStyle w:val="Heading1"/>
      </w:pPr>
      <w:r>
        <w:t>Conclusion</w:t>
      </w:r>
    </w:p>
    <w:p>
      <w:pPr/>
      <w:r>
        <w:t>Kernel PCA can reveal nonlinear structure that a linear PCA projection may not represent as clearly. The quality of the embedding depends on the kernel and its parameters. Visual plots and silhouette diagnostics should be interpreted together; any SVM accuracy result measures the separate downstream classifier.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