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EV BATTERY-SWAP NETWORK</w:t>
      </w:r>
    </w:p>
    <w:p>
      <w:pPr>
        <w:spacing w:after="140"/>
      </w:pPr>
      <w:r>
        <w:rPr>
          <w:rFonts w:ascii="Calibri" w:cs="Calibri" w:eastAsia="Calibri" w:hAnsi="Calibri"/>
          <w:b/>
          <w:bCs/>
          <w:color w:val="44546A"/>
          <w:sz w:val="30"/>
          <w:szCs w:val="30"/>
        </w:rPr>
        <w:t xml:space="preserve">Service Reliability &amp; Rider Churn Risk</w:t>
      </w:r>
    </w:p>
    <w:p>
      <w:pPr>
        <w:spacing w:after="220"/>
      </w:pPr>
      <w:r>
        <w:rPr>
          <w:rFonts w:ascii="Calibri" w:cs="Calibri" w:eastAsia="Calibri" w:hAnsi="Calibri"/>
          <w:i/>
          <w:iCs/>
          <w:color w:val="595959"/>
          <w:sz w:val="21"/>
          <w:szCs w:val="21"/>
        </w:rPr>
        <w:t xml:space="preserve">Diagnosing no-battery failure drivers, quantifying network economics, and predicting rider churn to prioritize retention and reliability investment</w:t>
      </w:r>
    </w:p>
    <w:p>
      <w:pPr>
        <w:spacing w:after="40"/>
      </w:pPr>
      <w:r>
        <w:rPr>
          <w:rFonts w:ascii="Calibri" w:cs="Calibri" w:eastAsia="Calibri" w:hAnsi="Calibri"/>
          <w:b/>
          <w:bCs/>
          <w:color w:val="262626"/>
          <w:sz w:val="19"/>
          <w:szCs w:val="19"/>
        </w:rPr>
        <w:t xml:space="preserve">Data period: </w:t>
      </w:r>
      <w:r>
        <w:rPr>
          <w:rFonts w:ascii="Calibri" w:cs="Calibri" w:eastAsia="Calibri" w:hAnsi="Calibri"/>
          <w:color w:val="262626"/>
          <w:sz w:val="19"/>
          <w:szCs w:val="19"/>
        </w:rPr>
        <w:t xml:space="preserve">January 2024 – June 2025 (18 months)</w:t>
      </w:r>
    </w:p>
    <w:p>
      <w:pPr>
        <w:spacing w:after="40"/>
      </w:pPr>
      <w:r>
        <w:rPr>
          <w:rFonts w:ascii="Calibri" w:cs="Calibri" w:eastAsia="Calibri" w:hAnsi="Calibri"/>
          <w:b/>
          <w:bCs/>
          <w:color w:val="262626"/>
          <w:sz w:val="19"/>
          <w:szCs w:val="19"/>
        </w:rPr>
        <w:t xml:space="preserve">Coverage: </w:t>
      </w:r>
      <w:r>
        <w:rPr>
          <w:rFonts w:ascii="Calibri" w:cs="Calibri" w:eastAsia="Calibri" w:hAnsi="Calibri"/>
          <w:color w:val="262626"/>
          <w:sz w:val="19"/>
          <w:szCs w:val="19"/>
        </w:rPr>
        <w:t xml:space="preserve">6 cities · 152 stations · 19,950 active riders · 3.88M swap attempts</w:t>
      </w:r>
    </w:p>
    <w:p>
      <w:pPr>
        <w:pBdr>
          <w:bottom w:val="single" w:color="BFBFBF" w:sz="6" w:space="10"/>
        </w:pBdr>
        <w:spacing w:after="240"/>
      </w:pPr>
      <w:r>
        <w:rPr>
          <w:rFonts w:ascii="Calibri" w:cs="Calibri" w:eastAsia="Calibri" w:hAnsi="Calibri"/>
          <w:b/>
          <w:bCs/>
          <w:color w:val="262626"/>
          <w:sz w:val="19"/>
          <w:szCs w:val="19"/>
        </w:rPr>
        <w:t xml:space="preserve">Prepared by: </w:t>
      </w:r>
      <w:r>
        <w:rPr>
          <w:rFonts w:ascii="Calibri" w:cs="Calibri" w:eastAsia="Calibri" w:hAnsi="Calibri"/>
          <w:color w:val="262626"/>
          <w:sz w:val="19"/>
          <w:szCs w:val="19"/>
        </w:rPr>
        <w:t xml:space="preserve">Himanshu Mital &amp; Vedansh Mittal</w:t>
      </w:r>
    </w:p>
    <w:p>
      <w:pPr>
        <w:keepNext/>
        <w:pBdr>
          <w:bottom w:val="single" w:color="1F3864" w:sz="8" w:space="6"/>
        </w:pBdr>
        <w:spacing w:after="220" w:before="0"/>
      </w:pPr>
      <w:r>
        <w:rPr>
          <w:rFonts w:ascii="Calibri" w:cs="Calibri" w:eastAsia="Calibri" w:hAnsi="Calibri"/>
          <w:b/>
          <w:bCs/>
          <w:color w:val="1F3864"/>
          <w:sz w:val="30"/>
          <w:szCs w:val="30"/>
        </w:rPr>
        <w:t xml:space="preserve">1.  Executive Summary</w:t>
      </w:r>
    </w:p>
    <w:p>
      <w:pPr>
        <w:spacing w:after="160" w:line="276"/>
        <w:jc w:val="both"/>
      </w:pPr>
      <w:r>
        <w:rPr>
          <w:rFonts w:ascii="Calibri" w:cs="Calibri" w:eastAsia="Calibri" w:hAnsi="Calibri"/>
          <w:color w:val="262626"/>
        </w:rPr>
        <w:t xml:space="preserve">The network processed </w:t>
      </w:r>
      <w:r>
        <w:rPr>
          <w:rFonts w:ascii="Calibri" w:cs="Calibri" w:eastAsia="Calibri" w:hAnsi="Calibri"/>
          <w:b/>
          <w:bCs/>
          <w:color w:val="262626"/>
        </w:rPr>
        <w:t xml:space="preserve">3.88 million swap attempts</w:t>
      </w:r>
      <w:r>
        <w:rPr>
          <w:rFonts w:ascii="Calibri" w:cs="Calibri" w:eastAsia="Calibri" w:hAnsi="Calibri"/>
          <w:color w:val="262626"/>
        </w:rPr>
        <w:t xml:space="preserve"> across 152 stations in six cities over an 18-month window. Two problems motivated this analysis: </w:t>
      </w:r>
      <w:r>
        <w:rPr>
          <w:rFonts w:ascii="Calibri" w:cs="Calibri" w:eastAsia="Calibri" w:hAnsi="Calibri"/>
          <w:b/>
          <w:bCs/>
          <w:color w:val="262626"/>
        </w:rPr>
        <w:t xml:space="preserve">3.47%</w:t>
      </w:r>
      <w:r>
        <w:rPr>
          <w:rFonts w:ascii="Calibri" w:cs="Calibri" w:eastAsia="Calibri" w:hAnsi="Calibri"/>
          <w:color w:val="262626"/>
        </w:rPr>
        <w:t xml:space="preserve"> of visits end in a no-battery failure, and </w:t>
      </w:r>
      <w:r>
        <w:rPr>
          <w:rFonts w:ascii="Calibri" w:cs="Calibri" w:eastAsia="Calibri" w:hAnsi="Calibri"/>
          <w:b/>
          <w:bCs/>
          <w:color w:val="262626"/>
        </w:rPr>
        <w:t xml:space="preserve">33.88%</w:t>
      </w:r>
      <w:r>
        <w:rPr>
          <w:rFonts w:ascii="Calibri" w:cs="Calibri" w:eastAsia="Calibri" w:hAnsi="Calibri"/>
          <w:color w:val="262626"/>
        </w:rPr>
        <w:t xml:space="preserve"> of riders churn within the observation period. Both carry a direct revenue cost — and both have different root causes than the obvious ones, which changes where investment should go.</w:t>
      </w:r>
    </w:p>
    <w:p>
      <w:pPr>
        <w:spacing w:after="60"/>
      </w:pPr>
    </w:p>
    <w:tbl>
      <w:tblPr>
        <w:tblW w:type="dxa" w:w="9026"/>
        <w:tblBorders>
          <w:top w:val="single" w:color="1F3864" w:sz="6"/>
          <w:left w:val="single" w:color="1F3864" w:sz="6"/>
          <w:bottom w:val="single" w:color="1F3864" w:sz="6"/>
          <w:right w:val="single" w:color="1F3864" w:sz="6"/>
          <w:insideH w:val="single" w:color="D9E1EC" w:sz="2"/>
          <w:insideV w:val="none"/>
        </w:tblBorders>
      </w:tblPr>
      <w:tblGrid>
        <w:gridCol w:w="2500"/>
        <w:gridCol w:w="6526"/>
      </w:tblGrid>
      <w:tr>
        <w:tc>
          <w:tcPr>
            <w:tcW w:type="dxa" w:w="2500"/>
            <w:shd w:fill="EDF1F6" w:color="auto" w:val="clear"/>
            <w:tcMar>
              <w:top w:type="dxa" w:w="90"/>
              <w:left w:type="dxa" w:w="160"/>
              <w:bottom w:type="dxa" w:w="90"/>
              <w:right w:type="dxa" w:w="120"/>
            </w:tcMar>
            <w:vAlign w:val="center"/>
          </w:tcPr>
          <w:p>
            <w:r>
              <w:rPr>
                <w:rFonts w:ascii="Calibri" w:cs="Calibri" w:eastAsia="Calibri" w:hAnsi="Calibri"/>
                <w:b/>
                <w:bCs/>
                <w:color w:val="17304F"/>
                <w:sz w:val="19"/>
                <w:szCs w:val="19"/>
              </w:rPr>
              <w:t xml:space="preserve">Network scale</w:t>
            </w:r>
          </w:p>
        </w:tc>
        <w:tc>
          <w:tcPr>
            <w:tcW w:type="dxa" w:w="6526"/>
            <w:shd w:fill="EDF1F6" w:color="auto" w:val="clear"/>
            <w:tcMar>
              <w:top w:type="dxa" w:w="90"/>
              <w:left w:type="dxa" w:w="160"/>
              <w:bottom w:type="dxa" w:w="90"/>
              <w:right w:type="dxa" w:w="160"/>
            </w:tcMar>
            <w:vAlign w:val="center"/>
          </w:tcPr>
          <w:p>
            <w:r>
              <w:rPr>
                <w:rFonts w:ascii="Calibri" w:cs="Calibri" w:eastAsia="Calibri" w:hAnsi="Calibri"/>
                <w:color w:val="262626"/>
                <w:sz w:val="19"/>
                <w:szCs w:val="19"/>
              </w:rPr>
              <w:t xml:space="preserve">3.88M swap attempts · 6 cities · 152 stations · 19,950 riders · 18 months</w:t>
            </w:r>
          </w:p>
        </w:tc>
      </w:tr>
      <w:tr>
        <w:tc>
          <w:tcPr>
            <w:tcW w:type="dxa" w:w="2500"/>
            <w:shd w:fill="EDF1F6" w:color="auto" w:val="clear"/>
            <w:tcMar>
              <w:top w:type="dxa" w:w="90"/>
              <w:left w:type="dxa" w:w="160"/>
              <w:bottom w:type="dxa" w:w="90"/>
              <w:right w:type="dxa" w:w="120"/>
            </w:tcMar>
            <w:vAlign w:val="center"/>
          </w:tcPr>
          <w:p>
            <w:r>
              <w:rPr>
                <w:rFonts w:ascii="Calibri" w:cs="Calibri" w:eastAsia="Calibri" w:hAnsi="Calibri"/>
                <w:b/>
                <w:bCs/>
                <w:color w:val="17304F"/>
                <w:sz w:val="19"/>
                <w:szCs w:val="19"/>
              </w:rPr>
              <w:t xml:space="preserve">Service reliability</w:t>
            </w:r>
          </w:p>
        </w:tc>
        <w:tc>
          <w:tcPr>
            <w:tcW w:type="dxa" w:w="6526"/>
            <w:shd w:fill="EDF1F6" w:color="auto" w:val="clear"/>
            <w:tcMar>
              <w:top w:type="dxa" w:w="90"/>
              <w:left w:type="dxa" w:w="160"/>
              <w:bottom w:type="dxa" w:w="90"/>
              <w:right w:type="dxa" w:w="160"/>
            </w:tcMar>
            <w:vAlign w:val="center"/>
          </w:tcPr>
          <w:p>
            <w:r>
              <w:rPr>
                <w:rFonts w:ascii="Calibri" w:cs="Calibri" w:eastAsia="Calibri" w:hAnsi="Calibri"/>
                <w:color w:val="262626"/>
                <w:sz w:val="19"/>
                <w:szCs w:val="19"/>
              </w:rPr>
              <w:t xml:space="preserve">3.47% network-wide failure rate; up to 12.94% in Jaipur at the summer peak</w:t>
            </w:r>
          </w:p>
        </w:tc>
      </w:tr>
      <w:tr>
        <w:tc>
          <w:tcPr>
            <w:tcW w:type="dxa" w:w="2500"/>
            <w:shd w:fill="EDF1F6" w:color="auto" w:val="clear"/>
            <w:tcMar>
              <w:top w:type="dxa" w:w="90"/>
              <w:left w:type="dxa" w:w="160"/>
              <w:bottom w:type="dxa" w:w="90"/>
              <w:right w:type="dxa" w:w="120"/>
            </w:tcMar>
            <w:vAlign w:val="center"/>
          </w:tcPr>
          <w:p>
            <w:r>
              <w:rPr>
                <w:rFonts w:ascii="Calibri" w:cs="Calibri" w:eastAsia="Calibri" w:hAnsi="Calibri"/>
                <w:b/>
                <w:bCs/>
                <w:color w:val="17304F"/>
                <w:sz w:val="19"/>
                <w:szCs w:val="19"/>
              </w:rPr>
              <w:t xml:space="preserve">Rider churn</w:t>
            </w:r>
          </w:p>
        </w:tc>
        <w:tc>
          <w:tcPr>
            <w:tcW w:type="dxa" w:w="6526"/>
            <w:shd w:fill="EDF1F6" w:color="auto" w:val="clear"/>
            <w:tcMar>
              <w:top w:type="dxa" w:w="90"/>
              <w:left w:type="dxa" w:w="160"/>
              <w:bottom w:type="dxa" w:w="90"/>
              <w:right w:type="dxa" w:w="160"/>
            </w:tcMar>
            <w:vAlign w:val="center"/>
          </w:tcPr>
          <w:p>
            <w:r>
              <w:rPr>
                <w:rFonts w:ascii="Calibri" w:cs="Calibri" w:eastAsia="Calibri" w:hAnsi="Calibri"/>
                <w:color w:val="262626"/>
                <w:sz w:val="19"/>
                <w:szCs w:val="19"/>
              </w:rPr>
              <w:t xml:space="preserve">33.88% (6,760 riders) — an onboarding/usage problem, not a reliability one</w:t>
            </w:r>
          </w:p>
        </w:tc>
      </w:tr>
      <w:tr>
        <w:tc>
          <w:tcPr>
            <w:tcW w:type="dxa" w:w="2500"/>
            <w:shd w:fill="EDF1F6" w:color="auto" w:val="clear"/>
            <w:tcMar>
              <w:top w:type="dxa" w:w="90"/>
              <w:left w:type="dxa" w:w="160"/>
              <w:bottom w:type="dxa" w:w="90"/>
              <w:right w:type="dxa" w:w="120"/>
            </w:tcMar>
            <w:vAlign w:val="center"/>
          </w:tcPr>
          <w:p>
            <w:r>
              <w:rPr>
                <w:rFonts w:ascii="Calibri" w:cs="Calibri" w:eastAsia="Calibri" w:hAnsi="Calibri"/>
                <w:b/>
                <w:bCs/>
                <w:color w:val="17304F"/>
                <w:sz w:val="19"/>
                <w:szCs w:val="19"/>
              </w:rPr>
              <w:t xml:space="preserve">Revenue concentration</w:t>
            </w:r>
          </w:p>
        </w:tc>
        <w:tc>
          <w:tcPr>
            <w:tcW w:type="dxa" w:w="6526"/>
            <w:shd w:fill="EDF1F6" w:color="auto" w:val="clear"/>
            <w:tcMar>
              <w:top w:type="dxa" w:w="90"/>
              <w:left w:type="dxa" w:w="160"/>
              <w:bottom w:type="dxa" w:w="90"/>
              <w:right w:type="dxa" w:w="160"/>
            </w:tcMar>
            <w:vAlign w:val="center"/>
          </w:tcPr>
          <w:p>
            <w:r>
              <w:rPr>
                <w:rFonts w:ascii="Calibri" w:cs="Calibri" w:eastAsia="Calibri" w:hAnsi="Calibri"/>
                <w:color w:val="262626"/>
                <w:sz w:val="19"/>
                <w:szCs w:val="19"/>
              </w:rPr>
              <w:t xml:space="preserve">Top 66 riders (90th percentile) hold 27% of all at-risk revenue</w:t>
            </w:r>
          </w:p>
        </w:tc>
      </w:tr>
      <w:tr>
        <w:tc>
          <w:tcPr>
            <w:tcW w:type="dxa" w:w="2500"/>
            <w:shd w:fill="EDF1F6" w:color="auto" w:val="clear"/>
            <w:tcMar>
              <w:top w:type="dxa" w:w="90"/>
              <w:left w:type="dxa" w:w="160"/>
              <w:bottom w:type="dxa" w:w="90"/>
              <w:right w:type="dxa" w:w="120"/>
            </w:tcMar>
            <w:vAlign w:val="center"/>
          </w:tcPr>
          <w:p>
            <w:r>
              <w:rPr>
                <w:rFonts w:ascii="Calibri" w:cs="Calibri" w:eastAsia="Calibri" w:hAnsi="Calibri"/>
                <w:b/>
                <w:bCs/>
                <w:color w:val="17304F"/>
                <w:sz w:val="19"/>
                <w:szCs w:val="19"/>
              </w:rPr>
              <w:t xml:space="preserve">Unit economics</w:t>
            </w:r>
          </w:p>
        </w:tc>
        <w:tc>
          <w:tcPr>
            <w:tcW w:type="dxa" w:w="6526"/>
            <w:shd w:fill="EDF1F6" w:color="auto" w:val="clear"/>
            <w:tcMar>
              <w:top w:type="dxa" w:w="90"/>
              <w:left w:type="dxa" w:w="160"/>
              <w:bottom w:type="dxa" w:w="90"/>
              <w:right w:type="dxa" w:w="160"/>
            </w:tcMar>
            <w:vAlign w:val="center"/>
          </w:tcPr>
          <w:p>
            <w:r>
              <w:rPr>
                <w:rFonts w:ascii="Calibri" w:cs="Calibri" w:eastAsia="Calibri" w:hAnsi="Calibri"/>
                <w:color w:val="262626"/>
                <w:sz w:val="19"/>
                <w:szCs w:val="19"/>
              </w:rPr>
              <w:t xml:space="preserve">69.5% contribution margin; revenue and contribution both grew ~3x over 18 months</w:t>
            </w:r>
          </w:p>
        </w:tc>
      </w:tr>
      <w:tr>
        <w:tc>
          <w:tcPr>
            <w:tcW w:type="dxa" w:w="2500"/>
            <w:shd w:fill="EDF1F6" w:color="auto" w:val="clear"/>
            <w:tcMar>
              <w:top w:type="dxa" w:w="90"/>
              <w:left w:type="dxa" w:w="160"/>
              <w:bottom w:type="dxa" w:w="90"/>
              <w:right w:type="dxa" w:w="120"/>
            </w:tcMar>
            <w:vAlign w:val="center"/>
          </w:tcPr>
          <w:p>
            <w:r>
              <w:rPr>
                <w:rFonts w:ascii="Calibri" w:cs="Calibri" w:eastAsia="Calibri" w:hAnsi="Calibri"/>
                <w:b/>
                <w:bCs/>
                <w:color w:val="17304F"/>
                <w:sz w:val="19"/>
                <w:szCs w:val="19"/>
              </w:rPr>
              <w:t xml:space="preserve">Pipeline performance</w:t>
            </w:r>
          </w:p>
        </w:tc>
        <w:tc>
          <w:tcPr>
            <w:tcW w:type="dxa" w:w="6526"/>
            <w:shd w:fill="EDF1F6" w:color="auto" w:val="clear"/>
            <w:tcMar>
              <w:top w:type="dxa" w:w="90"/>
              <w:left w:type="dxa" w:w="160"/>
              <w:bottom w:type="dxa" w:w="90"/>
              <w:right w:type="dxa" w:w="160"/>
            </w:tcMar>
            <w:vAlign w:val="center"/>
          </w:tcPr>
          <w:p>
            <w:r>
              <w:rPr>
                <w:rFonts w:ascii="Calibri" w:cs="Calibri" w:eastAsia="Calibri" w:hAnsi="Calibri"/>
                <w:color w:val="262626"/>
                <w:sz w:val="19"/>
                <w:szCs w:val="19"/>
              </w:rPr>
              <w:t xml:space="preserve">~100x faster processing of the full 3.88M-row dataset via vectorized, C-level execution</w:t>
            </w:r>
          </w:p>
        </w:tc>
      </w:tr>
    </w:tbl>
    <w:p>
      <w:pPr>
        <w:spacing w:after="160"/>
      </w:pPr>
    </w:p>
    <w:p>
      <w:pPr>
        <w:spacing w:after="160" w:line="276"/>
        <w:jc w:val="both"/>
      </w:pPr>
      <w:r>
        <w:rPr>
          <w:rFonts w:ascii="Calibri" w:cs="Calibri" w:eastAsia="Calibri" w:hAnsi="Calibri"/>
          <w:b/>
          <w:bCs/>
          <w:color w:val="262626"/>
        </w:rPr>
        <w:t xml:space="preserve">Heat and grid instability, not equipment age alone, drive reliability.</w:t>
      </w:r>
      <w:r>
        <w:rPr>
          <w:rFonts w:ascii="Calibri" w:cs="Calibri" w:eastAsia="Calibri" w:hAnsi="Calibri"/>
          <w:color w:val="262626"/>
        </w:rPr>
        <w:t xml:space="preserve"> Failure rates in Jaipur and Delhi NCR climb toward 13% during the April–June peak — nearly four times the network average — and the pattern repeats every year rather than occurring as a one-off event. Newer expansion-wave stations already run roughly one percentage point more reliably than the original Launch-wave cohort, which means the fix is proven; it simply has not reached the older stations yet.</w:t>
      </w:r>
    </w:p>
    <w:p>
      <w:pPr>
        <w:spacing w:after="160" w:line="276"/>
        <w:jc w:val="both"/>
      </w:pPr>
      <w:r>
        <w:rPr>
          <w:rFonts w:ascii="Calibri" w:cs="Calibri" w:eastAsia="Calibri" w:hAnsi="Calibri"/>
          <w:b/>
          <w:bCs/>
          <w:color w:val="262626"/>
        </w:rPr>
        <w:t xml:space="preserve">Churn is concentrated in new, low-usage riders, not riders with a poor service experience.</w:t>
      </w:r>
      <w:r>
        <w:rPr>
          <w:rFonts w:ascii="Calibri" w:cs="Calibri" w:eastAsia="Calibri" w:hAnsi="Calibri"/>
          <w:color w:val="262626"/>
        </w:rPr>
        <w:t xml:space="preserve"> Riders in their first 25 swaps churn at 47.4%, against 10.4% for riders past 400 attempts, and churn is essentially unrelated to fleet affiliation, plan type or the failure rate a rider personally experienced. This is an onboarding and habit-formation problem, and reliability messaging alone will not move it.</w:t>
      </w:r>
    </w:p>
    <w:p>
      <w:pPr>
        <w:spacing w:after="160" w:line="276"/>
        <w:jc w:val="both"/>
      </w:pPr>
      <w:r>
        <w:rPr>
          <w:rFonts w:ascii="Calibri" w:cs="Calibri" w:eastAsia="Calibri" w:hAnsi="Calibri"/>
          <w:color w:val="262626"/>
        </w:rPr>
        <w:t xml:space="preserve">A Random Forest classifier — chosen over a more "accurate" Gradient Boosting model because it catches </w:t>
      </w:r>
      <w:r>
        <w:rPr>
          <w:rFonts w:ascii="Calibri" w:cs="Calibri" w:eastAsia="Calibri" w:hAnsi="Calibri"/>
          <w:b/>
          <w:bCs/>
          <w:color w:val="262626"/>
        </w:rPr>
        <w:t xml:space="preserve">73.3%</w:t>
      </w:r>
      <w:r>
        <w:rPr>
          <w:rFonts w:ascii="Calibri" w:cs="Calibri" w:eastAsia="Calibri" w:hAnsi="Calibri"/>
          <w:color w:val="262626"/>
        </w:rPr>
        <w:t xml:space="preserve"> of true churners against 49.9% — scores every rider monthly. Revenue at risk is sharply concentrated: the top 66 highest-value riders in the High Risk band carry </w:t>
      </w:r>
      <w:r>
        <w:rPr>
          <w:rFonts w:ascii="Calibri" w:cs="Calibri" w:eastAsia="Calibri" w:hAnsi="Calibri"/>
          <w:b/>
          <w:bCs/>
          <w:color w:val="262626"/>
        </w:rPr>
        <w:t xml:space="preserve">27%</w:t>
      </w:r>
      <w:r>
        <w:rPr>
          <w:rFonts w:ascii="Calibri" w:cs="Calibri" w:eastAsia="Calibri" w:hAnsi="Calibri"/>
          <w:color w:val="262626"/>
        </w:rPr>
        <w:t xml:space="preserve"> of all at-risk revenue, and fleet-partner two-wheeler riders account for 55% of the exposure pool. Retention spend should follow that concentration rather than spread evenly across every flagged rider.</w:t>
      </w:r>
    </w:p>
    <w:p>
      <w:pPr>
        <w:spacing w:after="160" w:line="276"/>
        <w:jc w:val="both"/>
      </w:pPr>
      <w:r>
        <w:rPr>
          <w:rFonts w:ascii="Calibri" w:cs="Calibri" w:eastAsia="Calibri" w:hAnsi="Calibri"/>
          <w:color w:val="262626"/>
        </w:rPr>
        <w:t xml:space="preserve">Processing 3.88 million swap-level records repeatedly for iteration and model tuning was the practical bottleneck on standard hardware. Rewriting three stages of the data pipeline to run natively in C/Cython space rather than through row-wise Python calls cut total processing time by roughly </w:t>
      </w:r>
      <w:r>
        <w:rPr>
          <w:rFonts w:ascii="Calibri" w:cs="Calibri" w:eastAsia="Calibri" w:hAnsi="Calibri"/>
          <w:b/>
          <w:bCs/>
          <w:color w:val="262626"/>
        </w:rPr>
        <w:t xml:space="preserve">100x</w:t>
      </w:r>
      <w:r>
        <w:rPr>
          <w:rFonts w:ascii="Calibri" w:cs="Calibri" w:eastAsia="Calibri" w:hAnsi="Calibri"/>
          <w:color w:val="262626"/>
        </w:rPr>
        <w:t xml:space="preserve">, turning a multi-minute step into a near-instant one (Section 3).</w:t>
      </w:r>
    </w:p>
    <w:p>
      <w:pPr>
        <w:keepNext/>
        <w:pBdr>
          <w:bottom w:val="single" w:color="1F3864" w:sz="8" w:space="6"/>
        </w:pBdr>
        <w:spacing w:after="220" w:before="420"/>
      </w:pPr>
      <w:r>
        <w:rPr>
          <w:rFonts w:ascii="Calibri" w:cs="Calibri" w:eastAsia="Calibri" w:hAnsi="Calibri"/>
          <w:b/>
          <w:bCs/>
          <w:color w:val="1F3864"/>
          <w:sz w:val="30"/>
          <w:szCs w:val="30"/>
        </w:rPr>
        <w:t xml:space="preserve">2.  Problem Understanding &amp; Data Sources</w:t>
      </w:r>
    </w:p>
    <w:p>
      <w:pPr>
        <w:spacing w:after="160" w:line="276"/>
        <w:jc w:val="both"/>
      </w:pPr>
      <w:r>
        <w:rPr>
          <w:rFonts w:ascii="Calibri" w:cs="Calibri" w:eastAsia="Calibri" w:hAnsi="Calibri"/>
          <w:color w:val="262626"/>
        </w:rPr>
        <w:t xml:space="preserve">The business operates a battery-swap charging network for electric two- and three-wheelers across six Indian cities — Bengaluru, Delhi NCR, Hyderabad, Jaipur, Mumbai and Pune. Riders visit a station, exchange a depleted battery for a charged one, and pay per swap; some ride independently and some are affiliated with one of 12 fleet partners.</w:t>
      </w:r>
    </w:p>
    <w:p>
      <w:pPr>
        <w:keepNext/>
        <w:spacing w:after="140" w:before="200"/>
      </w:pPr>
      <w:r>
        <w:rPr>
          <w:rFonts w:ascii="Calibri" w:cs="Calibri" w:eastAsia="Calibri" w:hAnsi="Calibri"/>
          <w:b/>
          <w:bCs/>
          <w:color w:val="44546A"/>
          <w:sz w:val="24"/>
          <w:szCs w:val="24"/>
        </w:rPr>
        <w:t xml:space="preserve">Two problems</w:t>
      </w:r>
    </w:p>
    <w:p>
      <w:pPr>
        <w:pStyle w:val="ListParagraph"/>
        <w:numPr>
          <w:ilvl w:val="0"/>
          <w:numId w:val="2"/>
        </w:numPr>
        <w:spacing w:after="100" w:line="276"/>
      </w:pPr>
      <w:r>
        <w:rPr>
          <w:rFonts w:ascii="Calibri" w:cs="Calibri" w:eastAsia="Calibri" w:hAnsi="Calibri"/>
          <w:b/>
          <w:bCs/>
          <w:color w:val="262626"/>
        </w:rPr>
        <w:t xml:space="preserve">Service reliability.</w:t>
      </w:r>
      <w:r>
        <w:rPr>
          <w:rFonts w:ascii="Calibri" w:cs="Calibri" w:eastAsia="Calibri" w:hAnsi="Calibri"/>
          <w:color w:val="262626"/>
        </w:rPr>
        <w:t xml:space="preserve"> In roughly 3.5% of visits, no charged battery is available. This is the single largest controllable driver of a poor rider experience, and it is not evenly distributed across cities, stations or seasons.</w:t>
      </w:r>
    </w:p>
    <w:p>
      <w:pPr>
        <w:pStyle w:val="ListParagraph"/>
        <w:numPr>
          <w:ilvl w:val="0"/>
          <w:numId w:val="2"/>
        </w:numPr>
        <w:spacing w:after="100" w:line="276"/>
      </w:pPr>
      <w:r>
        <w:rPr>
          <w:rFonts w:ascii="Calibri" w:cs="Calibri" w:eastAsia="Calibri" w:hAnsi="Calibri"/>
          <w:b/>
          <w:bCs/>
          <w:color w:val="262626"/>
        </w:rPr>
        <w:t xml:space="preserve">Rider retention.</w:t>
      </w:r>
      <w:r>
        <w:rPr>
          <w:rFonts w:ascii="Calibri" w:cs="Calibri" w:eastAsia="Calibri" w:hAnsi="Calibri"/>
          <w:color w:val="262626"/>
        </w:rPr>
        <w:t xml:space="preserve"> Close to one in three riders goes inactive ("churns") within the observation window, at an uneven revenue cost across riders. The business needs to know who is at risk, how much revenue that represents, and where a retention program would have the most effect.</w:t>
      </w:r>
    </w:p>
    <w:p>
      <w:pPr>
        <w:keepNext/>
        <w:spacing w:after="140" w:before="200"/>
      </w:pPr>
      <w:r>
        <w:rPr>
          <w:rFonts w:ascii="Calibri" w:cs="Calibri" w:eastAsia="Calibri" w:hAnsi="Calibri"/>
          <w:b/>
          <w:bCs/>
          <w:color w:val="44546A"/>
          <w:sz w:val="24"/>
          <w:szCs w:val="24"/>
        </w:rPr>
        <w:t xml:space="preserve">Questions this analysis answers</w:t>
      </w:r>
    </w:p>
    <w:p>
      <w:pPr>
        <w:pStyle w:val="ListParagraph"/>
        <w:numPr>
          <w:ilvl w:val="0"/>
          <w:numId w:val="2"/>
        </w:numPr>
        <w:spacing w:after="100" w:line="276"/>
      </w:pPr>
      <w:r>
        <w:rPr>
          <w:rFonts w:ascii="Calibri" w:cs="Calibri" w:eastAsia="Calibri" w:hAnsi="Calibri"/>
          <w:color w:val="262626"/>
        </w:rPr>
        <w:t xml:space="preserve">What operational and environmental factors drive no-battery failures, and can the failure rate be predicted well enough to plan ahead?</w:t>
      </w:r>
    </w:p>
    <w:p>
      <w:pPr>
        <w:pStyle w:val="ListParagraph"/>
        <w:numPr>
          <w:ilvl w:val="0"/>
          <w:numId w:val="2"/>
        </w:numPr>
        <w:spacing w:after="100" w:line="276"/>
      </w:pPr>
      <w:r>
        <w:rPr>
          <w:rFonts w:ascii="Calibri" w:cs="Calibri" w:eastAsia="Calibri" w:hAnsi="Calibri"/>
          <w:color w:val="262626"/>
        </w:rPr>
        <w:t xml:space="preserve">Which stations, cities and station expansion waves underperform, and why?</w:t>
      </w:r>
    </w:p>
    <w:p>
      <w:pPr>
        <w:pStyle w:val="ListParagraph"/>
        <w:numPr>
          <w:ilvl w:val="0"/>
          <w:numId w:val="2"/>
        </w:numPr>
        <w:spacing w:after="100" w:line="276"/>
      </w:pPr>
      <w:r>
        <w:rPr>
          <w:rFonts w:ascii="Calibri" w:cs="Calibri" w:eastAsia="Calibri" w:hAnsi="Calibri"/>
          <w:color w:val="262626"/>
        </w:rPr>
        <w:t xml:space="preserve">What are the network's core unit economics — revenue, energy cost, contribution margin?</w:t>
      </w:r>
    </w:p>
    <w:p>
      <w:pPr>
        <w:pStyle w:val="ListParagraph"/>
        <w:numPr>
          <w:ilvl w:val="0"/>
          <w:numId w:val="2"/>
        </w:numPr>
        <w:spacing w:after="100" w:line="276"/>
      </w:pPr>
      <w:r>
        <w:rPr>
          <w:rFonts w:ascii="Calibri" w:cs="Calibri" w:eastAsia="Calibri" w:hAnsi="Calibri"/>
          <w:color w:val="262626"/>
        </w:rPr>
        <w:t xml:space="preserve">What actually predicts rider churn — service quality, usage behavior, or rider segment?</w:t>
      </w:r>
    </w:p>
    <w:p>
      <w:pPr>
        <w:pStyle w:val="ListParagraph"/>
        <w:numPr>
          <w:ilvl w:val="0"/>
          <w:numId w:val="2"/>
        </w:numPr>
        <w:spacing w:after="100" w:line="276"/>
      </w:pPr>
      <w:r>
        <w:rPr>
          <w:rFonts w:ascii="Calibri" w:cs="Calibri" w:eastAsia="Calibri" w:hAnsi="Calibri"/>
          <w:color w:val="262626"/>
        </w:rPr>
        <w:t xml:space="preserve">Which riders account for the greatest revenue at risk, and how should retention effort be prioritized?</w:t>
      </w:r>
    </w:p>
    <w:p>
      <w:pPr>
        <w:keepNext/>
        <w:spacing w:after="140" w:before="200"/>
      </w:pPr>
      <w:r>
        <w:rPr>
          <w:rFonts w:ascii="Calibri" w:cs="Calibri" w:eastAsia="Calibri" w:hAnsi="Calibri"/>
          <w:b/>
          <w:bCs/>
          <w:color w:val="44546A"/>
          <w:sz w:val="24"/>
          <w:szCs w:val="24"/>
        </w:rPr>
        <w:t xml:space="preserve">Data sources</w:t>
      </w:r>
    </w:p>
    <w:p>
      <w:pPr>
        <w:spacing w:after="160" w:line="276"/>
        <w:jc w:val="both"/>
      </w:pPr>
      <w:r>
        <w:rPr>
          <w:rFonts w:ascii="Calibri" w:cs="Calibri" w:eastAsia="Calibri" w:hAnsi="Calibri"/>
          <w:color w:val="262626"/>
        </w:rPr>
        <w:t xml:space="preserve">Seven linked datasets were used and cross-validated for referential integrity — zero orphaned rider, station or battery references across all joins.</w:t>
      </w:r>
    </w:p>
    <w:p>
      <w:pPr>
        <w:spacing w:after="6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1300"/>
        <w:gridCol w:w="4926"/>
      </w:tblGrid>
      <w:tr>
        <w:trPr>
          <w:tblHeader/>
        </w:trPr>
        <w:tc>
          <w:tcPr>
            <w:tcW w:type="dxa" w:w="28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Dataset</w:t>
            </w:r>
          </w:p>
        </w:tc>
        <w:tc>
          <w:tcPr>
            <w:tcW w:type="dxa" w:w="13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Rows</w:t>
            </w:r>
          </w:p>
        </w:tc>
        <w:tc>
          <w:tcPr>
            <w:tcW w:type="dxa" w:w="4926"/>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What it captures</w:t>
            </w:r>
          </w:p>
        </w:tc>
      </w:tr>
      <w:tr>
        <w:tc>
          <w:tcPr>
            <w:tcW w:type="dxa" w:w="2800"/>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stations.csv</w:t>
            </w:r>
          </w:p>
        </w:tc>
        <w:tc>
          <w:tcPr>
            <w:tcW w:type="dxa" w:w="13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152</w:t>
            </w:r>
          </w:p>
        </w:tc>
        <w:tc>
          <w:tcPr>
            <w:tcW w:type="dxa" w:w="4926"/>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Station metadata: city, host type, expansion wave, charger generation, rent and tariff economics</w:t>
            </w:r>
          </w:p>
        </w:tc>
      </w:tr>
      <w:tr>
        <w:tc>
          <w:tcPr>
            <w:tcW w:type="dxa" w:w="2800"/>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station_hourly_status.csv</w:t>
            </w:r>
          </w:p>
        </w:tc>
        <w:tc>
          <w:tcPr>
            <w:tcW w:type="dxa" w:w="13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1,487,712</w:t>
            </w:r>
          </w:p>
        </w:tc>
        <w:tc>
          <w:tcPr>
            <w:tcW w:type="dxa" w:w="4926"/>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Hourly telemetry per station: charged packs, quarantined packs, chargers online, temperature, outage minutes</w:t>
            </w:r>
          </w:p>
        </w:tc>
      </w:tr>
      <w:tr>
        <w:tc>
          <w:tcPr>
            <w:tcW w:type="dxa" w:w="2800"/>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swap_events.csv</w:t>
            </w:r>
          </w:p>
        </w:tc>
        <w:tc>
          <w:tcPr>
            <w:tcW w:type="dxa" w:w="13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3,877,013</w:t>
            </w:r>
          </w:p>
        </w:tc>
        <w:tc>
          <w:tcPr>
            <w:tcW w:type="dxa" w:w="4926"/>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Every swap attempt: outcome, pricing, battery state of charge/health, queue wait, payment</w:t>
            </w:r>
          </w:p>
        </w:tc>
      </w:tr>
      <w:tr>
        <w:tc>
          <w:tcPr>
            <w:tcW w:type="dxa" w:w="2800"/>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riders.csv</w:t>
            </w:r>
          </w:p>
        </w:tc>
        <w:tc>
          <w:tcPr>
            <w:tcW w:type="dxa" w:w="13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20,000</w:t>
            </w:r>
          </w:p>
        </w:tc>
        <w:tc>
          <w:tcPr>
            <w:tcW w:type="dxa" w:w="4926"/>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Rider profile: vehicle class, plan type, fleet affiliation, sign-up channel, home city</w:t>
            </w:r>
          </w:p>
        </w:tc>
      </w:tr>
      <w:tr>
        <w:tc>
          <w:tcPr>
            <w:tcW w:type="dxa" w:w="2800"/>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batteries.csv</w:t>
            </w:r>
          </w:p>
        </w:tc>
        <w:tc>
          <w:tcPr>
            <w:tcW w:type="dxa" w:w="13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6,500</w:t>
            </w:r>
          </w:p>
        </w:tc>
        <w:tc>
          <w:tcPr>
            <w:tcW w:type="dxa" w:w="4926"/>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Battery pack inventory: supplier, cost, rated capacity, state of health</w:t>
            </w:r>
          </w:p>
        </w:tc>
      </w:tr>
      <w:tr>
        <w:tc>
          <w:tcPr>
            <w:tcW w:type="dxa" w:w="2800"/>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fleet_partners.csv</w:t>
            </w:r>
          </w:p>
        </w:tc>
        <w:tc>
          <w:tcPr>
            <w:tcW w:type="dxa" w:w="13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12</w:t>
            </w:r>
          </w:p>
        </w:tc>
        <w:tc>
          <w:tcPr>
            <w:tcW w:type="dxa" w:w="4926"/>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B2B partner contract terms and discount structures</w:t>
            </w:r>
          </w:p>
        </w:tc>
      </w:tr>
      <w:tr>
        <w:tc>
          <w:tcPr>
            <w:tcW w:type="dxa" w:w="2800"/>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support_tickets.csv</w:t>
            </w:r>
          </w:p>
        </w:tc>
        <w:tc>
          <w:tcPr>
            <w:tcW w:type="dxa" w:w="13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44,000</w:t>
            </w:r>
          </w:p>
        </w:tc>
        <w:tc>
          <w:tcPr>
            <w:tcW w:type="dxa" w:w="4926"/>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Rider support interactions: category, priority, resolution time, CSAT</w:t>
            </w:r>
          </w:p>
        </w:tc>
      </w:tr>
    </w:tbl>
    <w:p>
      <w:pPr>
        <w:keepNext/>
        <w:pBdr>
          <w:bottom w:val="single" w:color="1F3864" w:sz="8" w:space="6"/>
        </w:pBdr>
        <w:spacing w:after="220" w:before="420"/>
      </w:pPr>
      <w:r>
        <w:rPr>
          <w:rFonts w:ascii="Calibri" w:cs="Calibri" w:eastAsia="Calibri" w:hAnsi="Calibri"/>
          <w:b/>
          <w:bCs/>
          <w:color w:val="1F3864"/>
          <w:sz w:val="30"/>
          <w:szCs w:val="30"/>
        </w:rPr>
        <w:t xml:space="preserve">3.  Analytical Approach &amp; Technical Performance</w:t>
      </w:r>
    </w:p>
    <w:p>
      <w:pPr>
        <w:keepNext/>
        <w:spacing w:after="140" w:before="200"/>
      </w:pPr>
      <w:r>
        <w:rPr>
          <w:rFonts w:ascii="Calibri" w:cs="Calibri" w:eastAsia="Calibri" w:hAnsi="Calibri"/>
          <w:b/>
          <w:bCs/>
          <w:color w:val="44546A"/>
          <w:sz w:val="24"/>
          <w:szCs w:val="24"/>
        </w:rPr>
        <w:t xml:space="preserve">Track A — Service Reliability &amp; Network Economics</w:t>
      </w:r>
    </w:p>
    <w:p>
      <w:pPr>
        <w:pStyle w:val="ListParagraph"/>
        <w:numPr>
          <w:ilvl w:val="0"/>
          <w:numId w:val="2"/>
        </w:numPr>
        <w:spacing w:after="100" w:line="276"/>
      </w:pPr>
      <w:r>
        <w:rPr>
          <w:rFonts w:ascii="Calibri" w:cs="Calibri" w:eastAsia="Calibri" w:hAnsi="Calibri"/>
          <w:color w:val="262626"/>
        </w:rPr>
        <w:t xml:space="preserve">Merged 18 months of hourly station telemetry with the swap-attempt log and station metadata, aggregated by city and month.</w:t>
      </w:r>
    </w:p>
    <w:p>
      <w:pPr>
        <w:pStyle w:val="ListParagraph"/>
        <w:numPr>
          <w:ilvl w:val="0"/>
          <w:numId w:val="2"/>
        </w:numPr>
        <w:spacing w:after="100" w:line="276"/>
      </w:pPr>
      <w:r>
        <w:rPr>
          <w:rFonts w:ascii="Calibri" w:cs="Calibri" w:eastAsia="Calibri" w:hAnsi="Calibri"/>
          <w:color w:val="262626"/>
        </w:rPr>
        <w:t xml:space="preserve">Correlated the no-battery failure rate against nine candidate drivers: temperature, grid outages, heat-alert days, rainfall, flood days, packs quarantined/charging, chargers online, low-battery hours.</w:t>
      </w:r>
    </w:p>
    <w:p>
      <w:pPr>
        <w:pStyle w:val="ListParagraph"/>
        <w:numPr>
          <w:ilvl w:val="0"/>
          <w:numId w:val="2"/>
        </w:numPr>
        <w:spacing w:after="100" w:line="276"/>
      </w:pPr>
      <w:r>
        <w:rPr>
          <w:rFonts w:ascii="Calibri" w:cs="Calibri" w:eastAsia="Calibri" w:hAnsi="Calibri"/>
          <w:color w:val="262626"/>
        </w:rPr>
        <w:t xml:space="preserve">Fitted a multiple linear regression to predict the failure rate from the strongest drivers, then examined residuals by city.</w:t>
      </w:r>
    </w:p>
    <w:p>
      <w:pPr>
        <w:pStyle w:val="ListParagraph"/>
        <w:numPr>
          <w:ilvl w:val="0"/>
          <w:numId w:val="2"/>
        </w:numPr>
        <w:spacing w:after="100" w:line="276"/>
      </w:pPr>
      <w:r>
        <w:rPr>
          <w:rFonts w:ascii="Calibri" w:cs="Calibri" w:eastAsia="Calibri" w:hAnsi="Calibri"/>
          <w:color w:val="262626"/>
        </w:rPr>
        <w:t xml:space="preserve">Compared failure rates across station expansion waves (Launch vs. two later rollout cohorts) to test whether newer stations perform better.</w:t>
      </w:r>
    </w:p>
    <w:p>
      <w:pPr>
        <w:pStyle w:val="ListParagraph"/>
        <w:numPr>
          <w:ilvl w:val="0"/>
          <w:numId w:val="2"/>
        </w:numPr>
        <w:spacing w:after="100" w:line="276"/>
      </w:pPr>
      <w:r>
        <w:rPr>
          <w:rFonts w:ascii="Calibri" w:cs="Calibri" w:eastAsia="Calibri" w:hAnsi="Calibri"/>
          <w:color w:val="262626"/>
        </w:rPr>
        <w:t xml:space="preserve">Built a station-level anomaly score blending failure rate and low-battery hours to flag priority stations, and reconstructed monthly network financials from completed-swap pricing.</w:t>
      </w:r>
    </w:p>
    <w:p>
      <w:pPr>
        <w:keepNext/>
        <w:spacing w:after="140" w:before="200"/>
      </w:pPr>
      <w:r>
        <w:rPr>
          <w:rFonts w:ascii="Calibri" w:cs="Calibri" w:eastAsia="Calibri" w:hAnsi="Calibri"/>
          <w:b/>
          <w:bCs/>
          <w:color w:val="44546A"/>
          <w:sz w:val="24"/>
          <w:szCs w:val="24"/>
        </w:rPr>
        <w:t xml:space="preserve">Track B — Rider Churn Prediction</w:t>
      </w:r>
    </w:p>
    <w:p>
      <w:pPr>
        <w:pStyle w:val="ListParagraph"/>
        <w:numPr>
          <w:ilvl w:val="0"/>
          <w:numId w:val="2"/>
        </w:numPr>
        <w:spacing w:after="100" w:line="276"/>
      </w:pPr>
      <w:r>
        <w:rPr>
          <w:rFonts w:ascii="Calibri" w:cs="Calibri" w:eastAsia="Calibri" w:hAnsi="Calibri"/>
          <w:color w:val="262626"/>
        </w:rPr>
        <w:t xml:space="preserve">Defined churn as no swap activity in the final 60 days of the observation window, for riders with enough history to be evaluated fairly.</w:t>
      </w:r>
    </w:p>
    <w:p>
      <w:pPr>
        <w:pStyle w:val="ListParagraph"/>
        <w:numPr>
          <w:ilvl w:val="0"/>
          <w:numId w:val="2"/>
        </w:numPr>
        <w:spacing w:after="100" w:line="276"/>
      </w:pPr>
      <w:r>
        <w:rPr>
          <w:rFonts w:ascii="Calibri" w:cs="Calibri" w:eastAsia="Calibri" w:hAnsi="Calibri"/>
          <w:color w:val="262626"/>
        </w:rPr>
        <w:t xml:space="preserve">Built a rider-level feature set: usage volume, service experience (failure rate, queue wait), support-ticket history, revenue and segment.</w:t>
      </w:r>
    </w:p>
    <w:p>
      <w:pPr>
        <w:pStyle w:val="ListParagraph"/>
        <w:numPr>
          <w:ilvl w:val="0"/>
          <w:numId w:val="2"/>
        </w:numPr>
        <w:spacing w:after="100" w:line="276"/>
      </w:pPr>
      <w:r>
        <w:rPr>
          <w:rFonts w:ascii="Calibri" w:cs="Calibri" w:eastAsia="Calibri" w:hAnsi="Calibri"/>
          <w:color w:val="262626"/>
        </w:rPr>
        <w:t xml:space="preserve">Assembled a 38-feature, 19,950-row modeling dataset and trained Logistic Regression, Random Forest and Gradient Boosting on an 80/20 split.</w:t>
      </w:r>
    </w:p>
    <w:p>
      <w:pPr>
        <w:pStyle w:val="ListParagraph"/>
        <w:numPr>
          <w:ilvl w:val="0"/>
          <w:numId w:val="2"/>
        </w:numPr>
        <w:spacing w:after="100" w:line="276"/>
      </w:pPr>
      <w:r>
        <w:rPr>
          <w:rFonts w:ascii="Calibri" w:cs="Calibri" w:eastAsia="Calibri" w:hAnsi="Calibri"/>
          <w:color w:val="262626"/>
        </w:rPr>
        <w:t xml:space="preserve">Evaluated models on accuracy, precision, recall, F1 and ROC-AUC, then extracted feature importances to identify the main predictors of churn.</w:t>
      </w:r>
    </w:p>
    <w:p>
      <w:pPr>
        <w:pStyle w:val="ListParagraph"/>
        <w:numPr>
          <w:ilvl w:val="0"/>
          <w:numId w:val="2"/>
        </w:numPr>
        <w:spacing w:after="100" w:line="276"/>
      </w:pPr>
      <w:r>
        <w:rPr>
          <w:rFonts w:ascii="Calibri" w:cs="Calibri" w:eastAsia="Calibri" w:hAnsi="Calibri"/>
          <w:color w:val="262626"/>
        </w:rPr>
        <w:t xml:space="preserve">Converted model output into a churn-probability score, grouped riders into Low/Medium/High risk bands, and quantified revenue exposure by band and segment.</w:t>
      </w:r>
    </w:p>
    <w:p>
      <w:pPr>
        <w:keepNext/>
        <w:spacing w:after="140" w:before="200"/>
      </w:pPr>
      <w:r>
        <w:rPr>
          <w:rFonts w:ascii="Calibri" w:cs="Calibri" w:eastAsia="Calibri" w:hAnsi="Calibri"/>
          <w:b/>
          <w:bCs/>
          <w:color w:val="44546A"/>
          <w:sz w:val="24"/>
          <w:szCs w:val="24"/>
        </w:rPr>
        <w:t xml:space="preserve">Tools &amp; techniques</w:t>
      </w:r>
    </w:p>
    <w:p>
      <w:pPr>
        <w:spacing w:after="160" w:line="276"/>
        <w:jc w:val="both"/>
      </w:pPr>
      <w:r>
        <w:rPr>
          <w:rFonts w:ascii="Calibri" w:cs="Calibri" w:eastAsia="Calibri" w:hAnsi="Calibri"/>
          <w:color w:val="262626"/>
        </w:rPr>
        <w:t xml:space="preserve">Python (pandas, numpy) for data preparation; Pearson correlation and ordinary least-squares regression for driver analysis; scikit-learn Logistic Regression, Random Forest and Gradient Boosting classifiers for churn prediction; precision, recall, F1 and ROC-AUC with confusion matrices for model evaluation.</w:t>
      </w:r>
    </w:p>
    <w:p>
      <w:pPr>
        <w:keepNext/>
        <w:spacing w:after="140" w:before="200"/>
      </w:pPr>
      <w:r>
        <w:rPr>
          <w:rFonts w:ascii="Calibri" w:cs="Calibri" w:eastAsia="Calibri" w:hAnsi="Calibri"/>
          <w:b/>
          <w:bCs/>
          <w:color w:val="44546A"/>
          <w:sz w:val="24"/>
          <w:szCs w:val="24"/>
        </w:rPr>
        <w:t xml:space="preserve">Engineering for scale: a 100x pipeline speedup</w:t>
      </w:r>
    </w:p>
    <w:p>
      <w:pPr>
        <w:spacing w:after="160" w:line="276"/>
        <w:jc w:val="both"/>
      </w:pPr>
      <w:r>
        <w:rPr>
          <w:rFonts w:ascii="Calibri" w:cs="Calibri" w:eastAsia="Calibri" w:hAnsi="Calibri"/>
          <w:color w:val="262626"/>
        </w:rPr>
        <w:t xml:space="preserve">The swap-event log alone runs to 3.88 million rows, and every iteration of the analysis — retuning a feature, re-running a correlation, rebuilding the modeling dataset — meant reprocessing it from scratch on a single laptop, within a hackathon's time budget. Three changes to the pandas pipeline removed the row-wise Python overhead driving most of that cost, moving the work into native C/Cython execution:</w:t>
      </w:r>
    </w:p>
    <w:p>
      <w:pPr>
        <w:pStyle w:val="ListParagraph"/>
        <w:numPr>
          <w:ilvl w:val="0"/>
          <w:numId w:val="2"/>
        </w:numPr>
        <w:spacing w:after="100" w:line="276"/>
      </w:pPr>
      <w:r>
        <w:rPr>
          <w:rFonts w:ascii="Calibri" w:cs="Calibri" w:eastAsia="Calibri" w:hAnsi="Calibri"/>
          <w:b/>
          <w:bCs/>
          <w:color w:val="262626"/>
        </w:rPr>
        <w:t xml:space="preserve">Vectorized datetime bypass.</w:t>
      </w:r>
      <w:r>
        <w:rPr>
          <w:rFonts w:ascii="Calibri" w:cs="Calibri" w:eastAsia="Calibri" w:hAnsi="Calibri"/>
          <w:color w:val="262626"/>
        </w:rPr>
        <w:t xml:space="preserve"> Extracting a YYYY-MM period from each timestamp with pandas' `to_datetime` parser evaluates a full, locale-aware calendar conversion per row. Replacing it with a native string slice (`.str[:7]`) on the already-string timestamp column turned a multi-minute parse into a step measured in milliseconds.</w:t>
      </w:r>
    </w:p>
    <w:p>
      <w:pPr>
        <w:pStyle w:val="ListParagraph"/>
        <w:numPr>
          <w:ilvl w:val="0"/>
          <w:numId w:val="2"/>
        </w:numPr>
        <w:spacing w:after="100" w:line="276"/>
      </w:pPr>
      <w:r>
        <w:rPr>
          <w:rFonts w:ascii="Calibri" w:cs="Calibri" w:eastAsia="Calibri" w:hAnsi="Calibri"/>
          <w:b/>
          <w:bCs/>
          <w:color w:val="262626"/>
        </w:rPr>
        <w:t xml:space="preserve">Cython-space aggregations.</w:t>
      </w:r>
      <w:r>
        <w:rPr>
          <w:rFonts w:ascii="Calibri" w:cs="Calibri" w:eastAsia="Calibri" w:hAnsi="Calibri"/>
          <w:color w:val="262626"/>
        </w:rPr>
        <w:t xml:space="preserve"> Custom Python lambda functions inside `.groupby.agg()` calls force pandas to invoke the Python interpreter once per group. Pre-computing boolean masks for each condition and aggregating over them instead keeps the computation inside pandas' compiled Cython aggregation path, with no per-group Python callback.</w:t>
      </w:r>
    </w:p>
    <w:p>
      <w:pPr>
        <w:pStyle w:val="ListParagraph"/>
        <w:numPr>
          <w:ilvl w:val="0"/>
          <w:numId w:val="2"/>
        </w:numPr>
        <w:spacing w:after="100" w:line="276"/>
      </w:pPr>
      <w:r>
        <w:rPr>
          <w:rFonts w:ascii="Calibri" w:cs="Calibri" w:eastAsia="Calibri" w:hAnsi="Calibri"/>
          <w:b/>
          <w:bCs/>
          <w:color w:val="262626"/>
        </w:rPr>
        <w:t xml:space="preserve">Vectorized set logic.</w:t>
      </w:r>
      <w:r>
        <w:rPr>
          <w:rFonts w:ascii="Calibri" w:cs="Calibri" w:eastAsia="Calibri" w:hAnsi="Calibri"/>
          <w:color w:val="262626"/>
        </w:rPr>
        <w:t xml:space="preserve"> Duplicate- and orphan-reference checks originally ran as Python-level `for` loops over rider, station and battery IDs. Replacing them with native array-length comparisons turned an O(n) Python iteration into a single vectorized, C-level operation.</w:t>
      </w:r>
    </w:p>
    <w:p>
      <w:pPr>
        <w:spacing w:after="160" w:line="276"/>
        <w:jc w:val="both"/>
      </w:pPr>
      <w:r>
        <w:rPr>
          <w:rFonts w:ascii="Calibri" w:cs="Calibri" w:eastAsia="Calibri" w:hAnsi="Calibri"/>
          <w:color w:val="262626"/>
        </w:rPr>
        <w:t xml:space="preserve">Combined, these three changes delivered roughly a </w:t>
      </w:r>
      <w:r>
        <w:rPr>
          <w:rFonts w:ascii="Calibri" w:cs="Calibri" w:eastAsia="Calibri" w:hAnsi="Calibri"/>
          <w:b/>
          <w:bCs/>
          <w:color w:val="262626"/>
        </w:rPr>
        <w:t xml:space="preserve">100x</w:t>
      </w:r>
      <w:r>
        <w:rPr>
          <w:rFonts w:ascii="Calibri" w:cs="Calibri" w:eastAsia="Calibri" w:hAnsi="Calibri"/>
          <w:color w:val="262626"/>
        </w:rPr>
        <w:t xml:space="preserve"> reduction in end-to-end processing time for the full dataset. The gain mattered less for any single run than for the ability to iterate — retesting features, re-running correlations and rebuilding the modeling dataset repeatedly within the available window, on standard hardware with no distributed compute.</w:t>
      </w:r>
    </w:p>
    <w:p>
      <w:pPr>
        <w:keepNext/>
        <w:pBdr>
          <w:bottom w:val="single" w:color="1F3864" w:sz="8" w:space="6"/>
        </w:pBdr>
        <w:spacing w:after="220" w:before="420"/>
      </w:pPr>
      <w:r>
        <w:rPr>
          <w:rFonts w:ascii="Calibri" w:cs="Calibri" w:eastAsia="Calibri" w:hAnsi="Calibri"/>
          <w:b/>
          <w:bCs/>
          <w:color w:val="1F3864"/>
          <w:sz w:val="30"/>
          <w:szCs w:val="30"/>
        </w:rPr>
        <w:t xml:space="preserve">4.  Reliability Insights</w:t>
      </w:r>
    </w:p>
    <w:p>
      <w:pPr>
        <w:keepNext/>
        <w:spacing w:after="140" w:before="200"/>
      </w:pPr>
      <w:r>
        <w:rPr>
          <w:rFonts w:ascii="Calibri" w:cs="Calibri" w:eastAsia="Calibri" w:hAnsi="Calibri"/>
          <w:b/>
          <w:bCs/>
          <w:color w:val="44546A"/>
          <w:sz w:val="24"/>
          <w:szCs w:val="24"/>
        </w:rPr>
        <w:t xml:space="preserve">What drives no-battery failures</w:t>
      </w:r>
    </w:p>
    <w:p>
      <w:pPr>
        <w:spacing w:after="160" w:line="276"/>
        <w:jc w:val="both"/>
      </w:pPr>
      <w:r>
        <w:rPr>
          <w:rFonts w:ascii="Calibri" w:cs="Calibri" w:eastAsia="Calibri" w:hAnsi="Calibri"/>
          <w:color w:val="262626"/>
        </w:rPr>
        <w:t xml:space="preserve">The network-wide no-battery failure rate is </w:t>
      </w:r>
      <w:r>
        <w:rPr>
          <w:rFonts w:ascii="Calibri" w:cs="Calibri" w:eastAsia="Calibri" w:hAnsi="Calibri"/>
          <w:b/>
          <w:bCs/>
          <w:color w:val="262626"/>
        </w:rPr>
        <w:t xml:space="preserve">3.47%</w:t>
      </w:r>
      <w:r>
        <w:rPr>
          <w:rFonts w:ascii="Calibri" w:cs="Calibri" w:eastAsia="Calibri" w:hAnsi="Calibri"/>
          <w:color w:val="262626"/>
        </w:rPr>
        <w:t xml:space="preserve">, but this figure masks substantial, systematic variation. Correlating city-month failure rates against nine candidate drivers produces a clear ranking:</w:t>
      </w:r>
    </w:p>
    <w:p>
      <w:pPr>
        <w:spacing w:after="6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26"/>
        <w:gridCol w:w="2200"/>
        <w:gridCol w:w="2300"/>
      </w:tblGrid>
      <w:tr>
        <w:trPr>
          <w:tblHeader/>
        </w:trPr>
        <w:tc>
          <w:tcPr>
            <w:tcW w:type="dxa" w:w="4526"/>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Driver</w:t>
            </w:r>
          </w:p>
        </w:tc>
        <w:tc>
          <w:tcPr>
            <w:tcW w:type="dxa" w:w="22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Correlation</w:t>
            </w:r>
          </w:p>
        </w:tc>
        <w:tc>
          <w:tcPr>
            <w:tcW w:type="dxa" w:w="23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Relationship</w:t>
            </w:r>
          </w:p>
        </w:tc>
      </w:tr>
      <w:tr>
        <w:tc>
          <w:tcPr>
            <w:tcW w:type="dxa" w:w="4526"/>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Average maximum temperature</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0.65</w:t>
            </w:r>
          </w:p>
        </w:tc>
        <w:tc>
          <w:tcPr>
            <w:tcW w:type="dxa" w:w="23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Strong positive</w:t>
            </w:r>
          </w:p>
        </w:tc>
      </w:tr>
      <w:tr>
        <w:tc>
          <w:tcPr>
            <w:tcW w:type="dxa" w:w="4526"/>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Grid outage hours</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0.59</w:t>
            </w:r>
          </w:p>
        </w:tc>
        <w:tc>
          <w:tcPr>
            <w:tcW w:type="dxa" w:w="23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Moderate positive</w:t>
            </w:r>
          </w:p>
        </w:tc>
      </w:tr>
      <w:tr>
        <w:tc>
          <w:tcPr>
            <w:tcW w:type="dxa" w:w="4526"/>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Heat-alert days</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0.57</w:t>
            </w:r>
          </w:p>
        </w:tc>
        <w:tc>
          <w:tcPr>
            <w:tcW w:type="dxa" w:w="23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Moderate positive</w:t>
            </w:r>
          </w:p>
        </w:tc>
      </w:tr>
      <w:tr>
        <w:tc>
          <w:tcPr>
            <w:tcW w:type="dxa" w:w="4526"/>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Average packs quarantined</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0.55</w:t>
            </w:r>
          </w:p>
        </w:tc>
        <w:tc>
          <w:tcPr>
            <w:tcW w:type="dxa" w:w="23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Moderate positive</w:t>
            </w:r>
          </w:p>
        </w:tc>
      </w:tr>
      <w:tr>
        <w:tc>
          <w:tcPr>
            <w:tcW w:type="dxa" w:w="4526"/>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Low-battery hour %</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0.43</w:t>
            </w:r>
          </w:p>
        </w:tc>
        <w:tc>
          <w:tcPr>
            <w:tcW w:type="dxa" w:w="23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Moderate positive</w:t>
            </w:r>
          </w:p>
        </w:tc>
      </w:tr>
      <w:tr>
        <w:tc>
          <w:tcPr>
            <w:tcW w:type="dxa" w:w="4526"/>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Flood days / total rainfall</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−0.05 to −0.06</w:t>
            </w:r>
          </w:p>
        </w:tc>
        <w:tc>
          <w:tcPr>
            <w:tcW w:type="dxa" w:w="23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Negligible</w:t>
            </w:r>
          </w:p>
        </w:tc>
      </w:tr>
      <w:tr>
        <w:tc>
          <w:tcPr>
            <w:tcW w:type="dxa" w:w="4526"/>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Packs charging / chargers online</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≈0.02</w:t>
            </w:r>
          </w:p>
        </w:tc>
        <w:tc>
          <w:tcPr>
            <w:tcW w:type="dxa" w:w="23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Negligible</w:t>
            </w:r>
          </w:p>
        </w:tc>
      </w:tr>
    </w:tbl>
    <w:p>
      <w:pPr>
        <w:spacing w:after="160"/>
      </w:pPr>
    </w:p>
    <w:p>
      <w:pPr>
        <w:spacing w:after="160" w:line="276"/>
        <w:jc w:val="both"/>
      </w:pPr>
      <w:r>
        <w:rPr>
          <w:rFonts w:ascii="Calibri" w:cs="Calibri" w:eastAsia="Calibri" w:hAnsi="Calibri"/>
          <w:color w:val="262626"/>
        </w:rPr>
        <w:t xml:space="preserve">A multiple linear regression on the strongest drivers explains a substantial share of the variation in monthly city-level failure rates (</w:t>
      </w:r>
      <w:r>
        <w:rPr>
          <w:rFonts w:ascii="Calibri" w:cs="Calibri" w:eastAsia="Calibri" w:hAnsi="Calibri"/>
          <w:b/>
          <w:bCs/>
          <w:color w:val="262626"/>
        </w:rPr>
        <w:t xml:space="preserve">R² = 0.663</w:t>
      </w:r>
      <w:r>
        <w:rPr>
          <w:rFonts w:ascii="Calibri" w:cs="Calibri" w:eastAsia="Calibri" w:hAnsi="Calibri"/>
          <w:color w:val="262626"/>
        </w:rPr>
        <w:t xml:space="preserve">, MAE = 1.02 points, RMSE = 1.49 points). Model error is lowest in Mumbai and Bengaluru (under 0.9 points) and highest in Delhi NCR and Jaipur (1.3–1.4 points) — a single national model underperforms in exactly the hottest, most variable cities, which argues for city-specific tuning there rather than a network-wide average.</w:t>
      </w:r>
    </w:p>
    <w:p>
      <w:pPr>
        <w:keepNext/>
        <w:spacing w:after="140" w:before="200"/>
      </w:pPr>
      <w:r>
        <w:rPr>
          <w:rFonts w:ascii="Calibri" w:cs="Calibri" w:eastAsia="Calibri" w:hAnsi="Calibri"/>
          <w:b/>
          <w:bCs/>
          <w:color w:val="44546A"/>
          <w:sz w:val="24"/>
          <w:szCs w:val="24"/>
        </w:rPr>
        <w:t xml:space="preserve">Where failures concentrate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26"/>
        <w:gridCol w:w="2200"/>
        <w:gridCol w:w="2200"/>
        <w:gridCol w:w="2200"/>
      </w:tblGrid>
      <w:tr>
        <w:trPr>
          <w:tblHeader/>
        </w:trPr>
        <w:tc>
          <w:tcPr>
            <w:tcW w:type="dxa" w:w="2426"/>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City</w:t>
            </w:r>
          </w:p>
        </w:tc>
        <w:tc>
          <w:tcPr>
            <w:tcW w:type="dxa" w:w="22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Failure rate</w:t>
            </w:r>
          </w:p>
        </w:tc>
        <w:tc>
          <w:tcPr>
            <w:tcW w:type="dxa" w:w="22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Attempts</w:t>
            </w:r>
          </w:p>
        </w:tc>
        <w:tc>
          <w:tcPr>
            <w:tcW w:type="dxa" w:w="22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Failures</w:t>
            </w:r>
          </w:p>
        </w:tc>
      </w:tr>
      <w:tr>
        <w:tc>
          <w:tcPr>
            <w:tcW w:type="dxa" w:w="2426"/>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Jaipur</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4.78%</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487,634</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23,303</w:t>
            </w:r>
          </w:p>
        </w:tc>
      </w:tr>
      <w:tr>
        <w:tc>
          <w:tcPr>
            <w:tcW w:type="dxa" w:w="2426"/>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Delhi NCR</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4.41%</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768,913</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33,892</w:t>
            </w:r>
          </w:p>
        </w:tc>
      </w:tr>
      <w:tr>
        <w:tc>
          <w:tcPr>
            <w:tcW w:type="dxa" w:w="2426"/>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Hyderabad</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3.97%</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711,930</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28,274</w:t>
            </w:r>
          </w:p>
        </w:tc>
      </w:tr>
      <w:tr>
        <w:tc>
          <w:tcPr>
            <w:tcW w:type="dxa" w:w="2426"/>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Pune</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2.80%</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552,910</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15,480</w:t>
            </w:r>
          </w:p>
        </w:tc>
      </w:tr>
      <w:tr>
        <w:tc>
          <w:tcPr>
            <w:tcW w:type="dxa" w:w="2426"/>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Bengaluru</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2.50%</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825,327</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20,602</w:t>
            </w:r>
          </w:p>
        </w:tc>
      </w:tr>
      <w:tr>
        <w:tc>
          <w:tcPr>
            <w:tcW w:type="dxa" w:w="2426"/>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Mumbai</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2.42%</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530,299</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12,838</w:t>
            </w:r>
          </w:p>
        </w:tc>
      </w:tr>
    </w:tbl>
    <w:p>
      <w:pPr>
        <w:spacing w:after="160"/>
      </w:pPr>
    </w:p>
    <w:p>
      <w:pPr>
        <w:spacing w:after="160" w:line="276"/>
        <w:jc w:val="both"/>
      </w:pPr>
      <w:r>
        <w:rPr>
          <w:rFonts w:ascii="Calibri" w:cs="Calibri" w:eastAsia="Calibri" w:hAnsi="Calibri"/>
          <w:color w:val="262626"/>
        </w:rPr>
        <w:t xml:space="preserve">The worst single city-month was </w:t>
      </w:r>
      <w:r>
        <w:rPr>
          <w:rFonts w:ascii="Calibri" w:cs="Calibri" w:eastAsia="Calibri" w:hAnsi="Calibri"/>
          <w:b/>
          <w:bCs/>
          <w:color w:val="262626"/>
        </w:rPr>
        <w:t xml:space="preserve">Jaipur in May 2024, at 12.94%</w:t>
      </w:r>
      <w:r>
        <w:rPr>
          <w:rFonts w:ascii="Calibri" w:cs="Calibri" w:eastAsia="Calibri" w:hAnsi="Calibri"/>
          <w:color w:val="262626"/>
        </w:rPr>
        <w:t xml:space="preserve"> — nearly four times the network average — and the monthly trend shows the same </w:t>
      </w:r>
      <w:r>
        <w:rPr>
          <w:rFonts w:ascii="Calibri" w:cs="Calibri" w:eastAsia="Calibri" w:hAnsi="Calibri"/>
          <w:b/>
          <w:bCs/>
          <w:color w:val="262626"/>
        </w:rPr>
        <w:t xml:space="preserve">April–June spike</w:t>
      </w:r>
      <w:r>
        <w:rPr>
          <w:rFonts w:ascii="Calibri" w:cs="Calibri" w:eastAsia="Calibri" w:hAnsi="Calibri"/>
          <w:color w:val="262626"/>
        </w:rPr>
        <w:t xml:space="preserve"> every year, driven by heat and concurrent grid stress rather than a one-off event.</w:t>
      </w:r>
    </w:p>
    <w:p>
      <w:pPr>
        <w:keepNext/>
        <w:spacing w:after="140" w:before="200"/>
      </w:pPr>
      <w:r>
        <w:rPr>
          <w:rFonts w:ascii="Calibri" w:cs="Calibri" w:eastAsia="Calibri" w:hAnsi="Calibri"/>
          <w:b/>
          <w:bCs/>
          <w:color w:val="44546A"/>
          <w:sz w:val="24"/>
          <w:szCs w:val="24"/>
        </w:rPr>
        <w:t xml:space="preserve">Newer stations are structurally more reliable</w:t>
      </w:r>
    </w:p>
    <w:p>
      <w:pPr>
        <w:spacing w:after="160" w:line="276"/>
        <w:jc w:val="both"/>
      </w:pPr>
      <w:r>
        <w:rPr>
          <w:rFonts w:ascii="Calibri" w:cs="Calibri" w:eastAsia="Calibri" w:hAnsi="Calibri"/>
          <w:color w:val="262626"/>
        </w:rPr>
        <w:t xml:space="preserve">Grouping stations by rollout cohort shows the original Launch-wave stations failing at </w:t>
      </w:r>
      <w:r>
        <w:rPr>
          <w:rFonts w:ascii="Calibri" w:cs="Calibri" w:eastAsia="Calibri" w:hAnsi="Calibri"/>
          <w:b/>
          <w:bCs/>
          <w:color w:val="262626"/>
        </w:rPr>
        <w:t xml:space="preserve">3.55%</w:t>
      </w:r>
      <w:r>
        <w:rPr>
          <w:rFonts w:ascii="Calibri" w:cs="Calibri" w:eastAsia="Calibri" w:hAnsi="Calibri"/>
          <w:color w:val="262626"/>
        </w:rPr>
        <w:t xml:space="preserve">, against </w:t>
      </w:r>
      <w:r>
        <w:rPr>
          <w:rFonts w:ascii="Calibri" w:cs="Calibri" w:eastAsia="Calibri" w:hAnsi="Calibri"/>
          <w:b/>
          <w:bCs/>
          <w:color w:val="262626"/>
        </w:rPr>
        <w:t xml:space="preserve">2.77%</w:t>
      </w:r>
      <w:r>
        <w:rPr>
          <w:rFonts w:ascii="Calibri" w:cs="Calibri" w:eastAsia="Calibri" w:hAnsi="Calibri"/>
          <w:color w:val="262626"/>
        </w:rPr>
        <w:t xml:space="preserve"> for the first later wave and </w:t>
      </w:r>
      <w:r>
        <w:rPr>
          <w:rFonts w:ascii="Calibri" w:cs="Calibri" w:eastAsia="Calibri" w:hAnsi="Calibri"/>
          <w:b/>
          <w:bCs/>
          <w:color w:val="262626"/>
        </w:rPr>
        <w:t xml:space="preserve">2.72%</w:t>
      </w:r>
      <w:r>
        <w:rPr>
          <w:rFonts w:ascii="Calibri" w:cs="Calibri" w:eastAsia="Calibri" w:hAnsi="Calibri"/>
          <w:color w:val="262626"/>
        </w:rPr>
        <w:t xml:space="preserve"> for the most recent wave — roughly a full percentage point of improvement, consistent with better siting, larger battery buffers and newer hardware generations learned after launch. The 15 highest-failure, highest-anomaly stations are almost all Launch-wave, Gen1 8-slot sites in Jaipur and Delhi NCR, with over 200 "low-battery hours" a month at the worst locations — the same sites appear on both rankings, pointing to persistent, fixable problems rather than random variation.</w:t>
      </w:r>
    </w:p>
    <w:p>
      <w:pPr>
        <w:keepNext/>
        <w:spacing w:after="140" w:before="200"/>
      </w:pPr>
      <w:r>
        <w:rPr>
          <w:rFonts w:ascii="Calibri" w:cs="Calibri" w:eastAsia="Calibri" w:hAnsi="Calibri"/>
          <w:b/>
          <w:bCs/>
          <w:color w:val="44546A"/>
          <w:sz w:val="24"/>
          <w:szCs w:val="24"/>
        </w:rPr>
        <w:t xml:space="preserve">Network unit economics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26"/>
        <w:gridCol w:w="4500"/>
      </w:tblGrid>
      <w:tr>
        <w:trPr>
          <w:tblHeader/>
        </w:trPr>
        <w:tc>
          <w:tcPr>
            <w:tcW w:type="dxa" w:w="4526"/>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Metric</w:t>
            </w:r>
          </w:p>
        </w:tc>
        <w:tc>
          <w:tcPr>
            <w:tcW w:type="dxa" w:w="45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Value</w:t>
            </w:r>
          </w:p>
        </w:tc>
      </w:tr>
      <w:tr>
        <w:tc>
          <w:tcPr>
            <w:tcW w:type="dxa" w:w="4526"/>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Total revenue (18 months)</w:t>
            </w:r>
          </w:p>
        </w:tc>
        <w:tc>
          <w:tcPr>
            <w:tcW w:type="dxa" w:w="45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₹23.31 Cr</w:t>
            </w:r>
          </w:p>
        </w:tc>
      </w:tr>
      <w:tr>
        <w:tc>
          <w:tcPr>
            <w:tcW w:type="dxa" w:w="4526"/>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Total energy cost</w:t>
            </w:r>
          </w:p>
        </w:tc>
        <w:tc>
          <w:tcPr>
            <w:tcW w:type="dxa" w:w="45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₹7.11 Cr</w:t>
            </w:r>
          </w:p>
        </w:tc>
      </w:tr>
      <w:tr>
        <w:tc>
          <w:tcPr>
            <w:tcW w:type="dxa" w:w="4526"/>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Total contribution margin</w:t>
            </w:r>
          </w:p>
        </w:tc>
        <w:tc>
          <w:tcPr>
            <w:tcW w:type="dxa" w:w="45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₹16.20 Cr (69.5% of revenue)</w:t>
            </w:r>
          </w:p>
        </w:tc>
      </w:tr>
      <w:tr>
        <w:tc>
          <w:tcPr>
            <w:tcW w:type="dxa" w:w="4526"/>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Avg. contribution per completed swap</w:t>
            </w:r>
          </w:p>
        </w:tc>
        <w:tc>
          <w:tcPr>
            <w:tcW w:type="dxa" w:w="45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₹43.25</w:t>
            </w:r>
          </w:p>
        </w:tc>
      </w:tr>
      <w:tr>
        <w:tc>
          <w:tcPr>
            <w:tcW w:type="dxa" w:w="4526"/>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Overall failure rate</w:t>
            </w:r>
          </w:p>
        </w:tc>
        <w:tc>
          <w:tcPr>
            <w:tcW w:type="dxa" w:w="45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3.47%</w:t>
            </w:r>
          </w:p>
        </w:tc>
      </w:tr>
      <w:tr>
        <w:tc>
          <w:tcPr>
            <w:tcW w:type="dxa" w:w="4526"/>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Overall abandonment rate</w:t>
            </w:r>
          </w:p>
        </w:tc>
        <w:tc>
          <w:tcPr>
            <w:tcW w:type="dxa" w:w="45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1.77%</w:t>
            </w:r>
          </w:p>
        </w:tc>
      </w:tr>
    </w:tbl>
    <w:p>
      <w:pPr>
        <w:spacing w:after="160"/>
      </w:pPr>
    </w:p>
    <w:p>
      <w:pPr>
        <w:spacing w:after="160" w:line="276"/>
        <w:jc w:val="both"/>
      </w:pPr>
      <w:r>
        <w:rPr>
          <w:rFonts w:ascii="Calibri" w:cs="Calibri" w:eastAsia="Calibri" w:hAnsi="Calibri"/>
          <w:color w:val="262626"/>
        </w:rPr>
        <w:t xml:space="preserve">Revenue and contribution both grew roughly 3x from the first month to the last, and contribution per swap rose from about ₹38 to ₹48. The network's variable-cost economics are healthy and improving — the direct justification for the station-upgrade and retention investment in Section 6.</w:t>
      </w:r>
    </w:p>
    <w:p>
      <w:pPr>
        <w:keepNext/>
        <w:pBdr>
          <w:bottom w:val="single" w:color="1F3864" w:sz="8" w:space="6"/>
        </w:pBdr>
        <w:spacing w:after="220" w:before="420"/>
      </w:pPr>
      <w:r>
        <w:rPr>
          <w:rFonts w:ascii="Calibri" w:cs="Calibri" w:eastAsia="Calibri" w:hAnsi="Calibri"/>
          <w:b/>
          <w:bCs/>
          <w:color w:val="1F3864"/>
          <w:sz w:val="30"/>
          <w:szCs w:val="30"/>
        </w:rPr>
        <w:t xml:space="preserve">5.  Churn Prediction &amp; Revenue Risk</w:t>
      </w:r>
    </w:p>
    <w:p>
      <w:pPr>
        <w:keepNext/>
        <w:spacing w:after="140" w:before="200"/>
      </w:pPr>
      <w:r>
        <w:rPr>
          <w:rFonts w:ascii="Calibri" w:cs="Calibri" w:eastAsia="Calibri" w:hAnsi="Calibri"/>
          <w:b/>
          <w:bCs/>
          <w:color w:val="44546A"/>
          <w:sz w:val="24"/>
          <w:szCs w:val="24"/>
        </w:rPr>
        <w:t xml:space="preserve">What actually drives churn</w:t>
      </w:r>
    </w:p>
    <w:p>
      <w:pPr>
        <w:spacing w:after="160" w:line="276"/>
        <w:jc w:val="both"/>
      </w:pPr>
      <w:r>
        <w:rPr>
          <w:rFonts w:ascii="Calibri" w:cs="Calibri" w:eastAsia="Calibri" w:hAnsi="Calibri"/>
          <w:color w:val="262626"/>
        </w:rPr>
        <w:t xml:space="preserve">Of the 19,950 riders with enough history to evaluate, </w:t>
      </w:r>
      <w:r>
        <w:rPr>
          <w:rFonts w:ascii="Calibri" w:cs="Calibri" w:eastAsia="Calibri" w:hAnsi="Calibri"/>
          <w:b/>
          <w:bCs/>
          <w:color w:val="262626"/>
        </w:rPr>
        <w:t xml:space="preserve">33.88%</w:t>
      </w:r>
      <w:r>
        <w:rPr>
          <w:rFonts w:ascii="Calibri" w:cs="Calibri" w:eastAsia="Calibri" w:hAnsi="Calibri"/>
          <w:color w:val="262626"/>
        </w:rPr>
        <w:t xml:space="preserve"> (6,760 riders) churned within the observation window. Commercial segment explains almost none of it: churn is 33.95% for fleet-partner riders against 33.78% for independents, 33.3–34.0% across all three plan types, and 33.55% for two-wheelers against 35.87% for three-wheelers.</w:t>
      </w:r>
    </w:p>
    <w:p>
      <w:pPr>
        <w:spacing w:after="160" w:line="276"/>
        <w:jc w:val="both"/>
      </w:pPr>
      <w:r>
        <w:rPr>
          <w:rFonts w:ascii="Calibri" w:cs="Calibri" w:eastAsia="Calibri" w:hAnsi="Calibri"/>
          <w:b/>
          <w:bCs/>
          <w:color w:val="262626"/>
        </w:rPr>
        <w:t xml:space="preserve">Usage intensity is the strongest signal, and it runs counter to intuition.</w:t>
      </w:r>
      <w:r>
        <w:rPr>
          <w:rFonts w:ascii="Calibri" w:cs="Calibri" w:eastAsia="Calibri" w:hAnsi="Calibri"/>
          <w:color w:val="262626"/>
        </w:rPr>
        <w:t xml:space="preserve"> Churn is 47.4% for riders with only 1–25 total attempts, falling steadily to 10.4% for riders past 400 attempts. Churn is, if anything, inversely related to the failure rate a rider personally experienced — riders with a 0–2% personal failure rate churn more (49.3%) than riders with 15%+ (28.8%) — and churned riders logged fewer support tickets on average than retained riders (1.33 vs. 2.65). This is consistent with a tenure effect: newer sign-ups have had less time to accumulate swaps, tickets and failures before the churn cutoff, and can look like churners in a fixed-window definition regardless of their actual experience (see Section 6 on redefining churn).</w:t>
      </w:r>
    </w:p>
    <w:p>
      <w:pPr>
        <w:spacing w:after="160" w:line="276"/>
        <w:jc w:val="both"/>
      </w:pPr>
      <w:r>
        <w:rPr>
          <w:rFonts w:ascii="Calibri" w:cs="Calibri" w:eastAsia="Calibri" w:hAnsi="Calibri"/>
          <w:color w:val="262626"/>
        </w:rPr>
        <w:t xml:space="preserve">Ticket </w:t>
      </w:r>
      <w:r>
        <w:rPr>
          <w:rFonts w:ascii="Calibri" w:cs="Calibri" w:eastAsia="Calibri" w:hAnsi="Calibri"/>
          <w:b/>
          <w:bCs/>
          <w:color w:val="262626"/>
        </w:rPr>
        <w:t xml:space="preserve">category</w:t>
      </w:r>
      <w:r>
        <w:rPr>
          <w:rFonts w:ascii="Calibri" w:cs="Calibri" w:eastAsia="Calibri" w:hAnsi="Calibri"/>
          <w:color w:val="262626"/>
        </w:rPr>
        <w:t xml:space="preserve">, though, is informative for riders who do raise one: billing disputes have the highest churn association of any category at </w:t>
      </w:r>
      <w:r>
        <w:rPr>
          <w:rFonts w:ascii="Calibri" w:cs="Calibri" w:eastAsia="Calibri" w:hAnsi="Calibri"/>
          <w:b/>
          <w:bCs/>
          <w:color w:val="262626"/>
        </w:rPr>
        <w:t xml:space="preserve">31.7%</w:t>
      </w:r>
      <w:r>
        <w:rPr>
          <w:rFonts w:ascii="Calibri" w:cs="Calibri" w:eastAsia="Calibri" w:hAnsi="Calibri"/>
          <w:color w:val="262626"/>
        </w:rPr>
        <w:t xml:space="preserve">, ahead of long-queue complaints (23.0%) and no-battery reports (22.4%), and well above generic app issues (16.9%). Billing friction looks like a specific, fixable process issue, distinct from the aggregate reliability picture.</w:t>
      </w:r>
    </w:p>
    <w:p>
      <w:pPr>
        <w:keepNext/>
        <w:spacing w:after="140" w:before="200"/>
      </w:pPr>
      <w:r>
        <w:rPr>
          <w:rFonts w:ascii="Calibri" w:cs="Calibri" w:eastAsia="Calibri" w:hAnsi="Calibri"/>
          <w:b/>
          <w:bCs/>
          <w:color w:val="44546A"/>
          <w:sz w:val="24"/>
          <w:szCs w:val="24"/>
        </w:rPr>
        <w:t xml:space="preserve">Model performance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26"/>
        <w:gridCol w:w="1400"/>
        <w:gridCol w:w="1400"/>
        <w:gridCol w:w="1400"/>
        <w:gridCol w:w="1400"/>
        <w:gridCol w:w="1400"/>
      </w:tblGrid>
      <w:tr>
        <w:trPr>
          <w:tblHeader/>
        </w:trPr>
        <w:tc>
          <w:tcPr>
            <w:tcW w:type="dxa" w:w="2026"/>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Model</w:t>
            </w:r>
          </w:p>
        </w:tc>
        <w:tc>
          <w:tcPr>
            <w:tcW w:type="dxa" w:w="14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Accuracy</w:t>
            </w:r>
          </w:p>
        </w:tc>
        <w:tc>
          <w:tcPr>
            <w:tcW w:type="dxa" w:w="14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Precision</w:t>
            </w:r>
          </w:p>
        </w:tc>
        <w:tc>
          <w:tcPr>
            <w:tcW w:type="dxa" w:w="14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Recall</w:t>
            </w:r>
          </w:p>
        </w:tc>
        <w:tc>
          <w:tcPr>
            <w:tcW w:type="dxa" w:w="14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F1</w:t>
            </w:r>
          </w:p>
        </w:tc>
        <w:tc>
          <w:tcPr>
            <w:tcW w:type="dxa" w:w="14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ROC-AUC</w:t>
            </w:r>
          </w:p>
        </w:tc>
      </w:tr>
      <w:tr>
        <w:tc>
          <w:tcPr>
            <w:tcW w:type="dxa" w:w="2026"/>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Logistic Regression</w:t>
            </w:r>
          </w:p>
        </w:tc>
        <w:tc>
          <w:tcPr>
            <w:tcW w:type="dxa" w:w="14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64.3%</w:t>
            </w:r>
          </w:p>
        </w:tc>
        <w:tc>
          <w:tcPr>
            <w:tcW w:type="dxa" w:w="14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48.1%</w:t>
            </w:r>
          </w:p>
        </w:tc>
        <w:tc>
          <w:tcPr>
            <w:tcW w:type="dxa" w:w="14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68.9%</w:t>
            </w:r>
          </w:p>
        </w:tc>
        <w:tc>
          <w:tcPr>
            <w:tcW w:type="dxa" w:w="14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56.7%</w:t>
            </w:r>
          </w:p>
        </w:tc>
        <w:tc>
          <w:tcPr>
            <w:tcW w:type="dxa" w:w="14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70.6%</w:t>
            </w:r>
          </w:p>
        </w:tc>
      </w:tr>
      <w:tr>
        <w:tc>
          <w:tcPr>
            <w:tcW w:type="dxa" w:w="2026"/>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Random Forest</w:t>
            </w:r>
          </w:p>
        </w:tc>
        <w:tc>
          <w:tcPr>
            <w:tcW w:type="dxa" w:w="14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75.6%</w:t>
            </w:r>
          </w:p>
        </w:tc>
        <w:tc>
          <w:tcPr>
            <w:tcW w:type="dxa" w:w="14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61.9%</w:t>
            </w:r>
          </w:p>
        </w:tc>
        <w:tc>
          <w:tcPr>
            <w:tcW w:type="dxa" w:w="14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73.3%</w:t>
            </w:r>
          </w:p>
        </w:tc>
        <w:tc>
          <w:tcPr>
            <w:tcW w:type="dxa" w:w="14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67.1%</w:t>
            </w:r>
          </w:p>
        </w:tc>
        <w:tc>
          <w:tcPr>
            <w:tcW w:type="dxa" w:w="14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83.5%</w:t>
            </w:r>
          </w:p>
        </w:tc>
      </w:tr>
      <w:tr>
        <w:tc>
          <w:tcPr>
            <w:tcW w:type="dxa" w:w="2026"/>
            <w:tcMar>
              <w:top w:type="dxa" w:w="80"/>
              <w:left w:type="dxa" w:w="120"/>
              <w:bottom w:type="dxa" w:w="80"/>
              <w:right w:type="dxa" w:w="120"/>
            </w:tcMar>
            <w:vAlign w:val="center"/>
          </w:tcPr>
          <w:p>
            <w:pPr>
              <w:jc w:val="left"/>
            </w:pPr>
            <w:r>
              <w:rPr>
                <w:rFonts w:ascii="Calibri" w:cs="Calibri" w:eastAsia="Calibri" w:hAnsi="Calibri"/>
                <w:color w:val="262626"/>
                <w:sz w:val="19"/>
                <w:szCs w:val="19"/>
              </w:rPr>
              <w:t xml:space="preserve">Gradient Boosting</w:t>
            </w:r>
          </w:p>
        </w:tc>
        <w:tc>
          <w:tcPr>
            <w:tcW w:type="dxa" w:w="14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81.5%</w:t>
            </w:r>
          </w:p>
        </w:tc>
        <w:tc>
          <w:tcPr>
            <w:tcW w:type="dxa" w:w="14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91.8%</w:t>
            </w:r>
          </w:p>
        </w:tc>
        <w:tc>
          <w:tcPr>
            <w:tcW w:type="dxa" w:w="14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49.9%</w:t>
            </w:r>
          </w:p>
        </w:tc>
        <w:tc>
          <w:tcPr>
            <w:tcW w:type="dxa" w:w="14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64.6%</w:t>
            </w:r>
          </w:p>
        </w:tc>
        <w:tc>
          <w:tcPr>
            <w:tcW w:type="dxa" w:w="1400"/>
            <w:tcMar>
              <w:top w:type="dxa" w:w="80"/>
              <w:left w:type="dxa" w:w="120"/>
              <w:bottom w:type="dxa" w:w="80"/>
              <w:right w:type="dxa" w:w="120"/>
            </w:tcMar>
            <w:vAlign w:val="center"/>
          </w:tcPr>
          <w:p>
            <w:pPr>
              <w:jc w:val="center"/>
            </w:pPr>
            <w:r>
              <w:rPr>
                <w:rFonts w:ascii="Calibri" w:cs="Calibri" w:eastAsia="Calibri" w:hAnsi="Calibri"/>
                <w:color w:val="262626"/>
                <w:sz w:val="19"/>
                <w:szCs w:val="19"/>
              </w:rPr>
              <w:t xml:space="preserve">86.6%</w:t>
            </w:r>
          </w:p>
        </w:tc>
      </w:tr>
    </w:tbl>
    <w:p>
      <w:pPr>
        <w:spacing w:after="160"/>
      </w:pPr>
    </w:p>
    <w:p>
      <w:pPr>
        <w:spacing w:after="160" w:line="276"/>
        <w:jc w:val="both"/>
      </w:pPr>
      <w:r>
        <w:rPr>
          <w:rFonts w:ascii="Calibri" w:cs="Calibri" w:eastAsia="Calibri" w:hAnsi="Calibri"/>
          <w:color w:val="262626"/>
        </w:rPr>
        <w:t xml:space="preserve">Gradient Boosting posts the highest accuracy and ROC-AUC, but its recall on the churn class is only 49.9% — it misses roughly half of all riders who actually churn. </w:t>
      </w:r>
      <w:r>
        <w:rPr>
          <w:rFonts w:ascii="Calibri" w:cs="Calibri" w:eastAsia="Calibri" w:hAnsi="Calibri"/>
          <w:b/>
          <w:bCs/>
          <w:color w:val="262626"/>
        </w:rPr>
        <w:t xml:space="preserve">Random Forest</w:t>
      </w:r>
      <w:r>
        <w:rPr>
          <w:rFonts w:ascii="Calibri" w:cs="Calibri" w:eastAsia="Calibri" w:hAnsi="Calibri"/>
          <w:color w:val="262626"/>
        </w:rPr>
        <w:t xml:space="preserve"> trades some precision for </w:t>
      </w:r>
      <w:r>
        <w:rPr>
          <w:rFonts w:ascii="Calibri" w:cs="Calibri" w:eastAsia="Calibri" w:hAnsi="Calibri"/>
          <w:b/>
          <w:bCs/>
          <w:color w:val="262626"/>
        </w:rPr>
        <w:t xml:space="preserve">73.3% recall</w:t>
      </w:r>
      <w:r>
        <w:rPr>
          <w:rFonts w:ascii="Calibri" w:cs="Calibri" w:eastAsia="Calibri" w:hAnsi="Calibri"/>
          <w:color w:val="262626"/>
        </w:rPr>
        <w:t xml:space="preserve">, catching three in four at-risk riders. Given that a missed churner costs the business more than one extra unnecessary retention offer, Random Forest is the better choice for an early-warning system, despite its lower headline accuracy. Feature importance backs the usage-intensity finding: revenue per swap (24.6%) and total revenue (8.8%) dominate, with failure rate (4.8%) and ticket metrics ranking far lower — the model is mainly reading how much a rider uses the service, not the quality of their experience.</w:t>
      </w:r>
    </w:p>
    <w:p>
      <w:pPr>
        <w:keepNext/>
        <w:spacing w:after="140" w:before="200"/>
      </w:pPr>
      <w:r>
        <w:rPr>
          <w:rFonts w:ascii="Calibri" w:cs="Calibri" w:eastAsia="Calibri" w:hAnsi="Calibri"/>
          <w:b/>
          <w:bCs/>
          <w:color w:val="44546A"/>
          <w:sz w:val="24"/>
          <w:szCs w:val="24"/>
        </w:rPr>
        <w:t xml:space="preserve">Where the revenue risk concentrates</w:t>
      </w:r>
    </w:p>
    <w:p>
      <w:pPr>
        <w:spacing w:after="160" w:line="276"/>
        <w:jc w:val="both"/>
      </w:pPr>
      <w:r>
        <w:rPr>
          <w:rFonts w:ascii="Calibri" w:cs="Calibri" w:eastAsia="Calibri" w:hAnsi="Calibri"/>
          <w:color w:val="262626"/>
        </w:rPr>
        <w:t xml:space="preserve">Scoring the 3,990-rider test set places 656 riders (16.44%) in the High Risk band, 1,072 (26.9%) in Medium Risk and 2,262 (56.7%) in Low Risk. High-risk riders carry ₹47.79 lakh of test-set revenue — 10.41% of the total — at an average of ₹7,285 per rider.</w:t>
      </w:r>
    </w:p>
    <w:p>
      <w:pPr>
        <w:spacing w:after="160" w:line="276"/>
        <w:jc w:val="both"/>
      </w:pPr>
      <w:r>
        <w:rPr>
          <w:rFonts w:ascii="Calibri" w:cs="Calibri" w:eastAsia="Calibri" w:hAnsi="Calibri"/>
          <w:color w:val="262626"/>
        </w:rPr>
        <w:t xml:space="preserve">That exposure is itself concentrated: the top 66 high-risk riders — the 90th percentile by revenue — represent </w:t>
      </w:r>
      <w:r>
        <w:rPr>
          <w:rFonts w:ascii="Calibri" w:cs="Calibri" w:eastAsia="Calibri" w:hAnsi="Calibri"/>
          <w:b/>
          <w:bCs/>
          <w:color w:val="262626"/>
        </w:rPr>
        <w:t xml:space="preserve">27%</w:t>
      </w:r>
      <w:r>
        <w:rPr>
          <w:rFonts w:ascii="Calibri" w:cs="Calibri" w:eastAsia="Calibri" w:hAnsi="Calibri"/>
          <w:color w:val="262626"/>
        </w:rPr>
        <w:t xml:space="preserve"> of all at-risk revenue (≈₹12.9 lakh of the test-set total), and 2W, partner-billed, fleet-partner riders make up </w:t>
      </w:r>
      <w:r>
        <w:rPr>
          <w:rFonts w:ascii="Calibri" w:cs="Calibri" w:eastAsia="Calibri" w:hAnsi="Calibri"/>
          <w:b/>
          <w:bCs/>
          <w:color w:val="262626"/>
        </w:rPr>
        <w:t xml:space="preserve">54.7%</w:t>
      </w:r>
      <w:r>
        <w:rPr>
          <w:rFonts w:ascii="Calibri" w:cs="Calibri" w:eastAsia="Calibri" w:hAnsi="Calibri"/>
          <w:color w:val="262626"/>
        </w:rPr>
        <w:t xml:space="preserve"> of the entire at-risk pool, by far the largest single exposure segment. Within the High Risk band, 14 "Very High Risk + High Revenue" riders (₹18,244 average revenue each) justify individual, personalized outreach, while the larger 440-rider "Very High Risk + Lower Revenue" group (50.8% of at-risk revenue) is better served by automated, lower-cost offers. Scaled proportionally to the full 19,950-rider base, this suggests total at-risk revenue on the order of </w:t>
      </w:r>
      <w:r>
        <w:rPr>
          <w:rFonts w:ascii="Calibri" w:cs="Calibri" w:eastAsia="Calibri" w:hAnsi="Calibri"/>
          <w:b/>
          <w:bCs/>
          <w:color w:val="262626"/>
        </w:rPr>
        <w:t xml:space="preserve">₹2.4 crore</w:t>
      </w:r>
      <w:r>
        <w:rPr>
          <w:rFonts w:ascii="Calibri" w:cs="Calibri" w:eastAsia="Calibri" w:hAnsi="Calibri"/>
          <w:color w:val="262626"/>
        </w:rPr>
        <w:t xml:space="preserve"> network-wide — an estimate, but one that points the same way as the test set: concentrated in a few hundred riders rather than spread evenly.</w:t>
      </w:r>
    </w:p>
    <w:p>
      <w:pPr>
        <w:keepNext/>
        <w:pBdr>
          <w:bottom w:val="single" w:color="1F3864" w:sz="8" w:space="6"/>
        </w:pBdr>
        <w:spacing w:after="220" w:before="420"/>
      </w:pPr>
      <w:r>
        <w:rPr>
          <w:rFonts w:ascii="Calibri" w:cs="Calibri" w:eastAsia="Calibri" w:hAnsi="Calibri"/>
          <w:b/>
          <w:bCs/>
          <w:color w:val="1F3864"/>
          <w:sz w:val="30"/>
          <w:szCs w:val="30"/>
        </w:rPr>
        <w:t xml:space="preserve">6.  Actionable Recommendations</w:t>
      </w:r>
    </w:p>
    <w:p>
      <w:pPr>
        <w:keepNext/>
        <w:spacing w:after="140" w:before="200"/>
      </w:pPr>
      <w:r>
        <w:rPr>
          <w:rFonts w:ascii="Calibri" w:cs="Calibri" w:eastAsia="Calibri" w:hAnsi="Calibri"/>
          <w:b/>
          <w:bCs/>
          <w:color w:val="44546A"/>
          <w:sz w:val="24"/>
          <w:szCs w:val="24"/>
        </w:rPr>
        <w:t xml:space="preserve">A. Network reliability</w:t>
      </w:r>
    </w:p>
    <w:p>
      <w:pPr>
        <w:pStyle w:val="ListParagraph"/>
        <w:numPr>
          <w:ilvl w:val="0"/>
          <w:numId w:val="2"/>
        </w:numPr>
        <w:spacing w:after="100" w:line="276"/>
      </w:pPr>
      <w:r>
        <w:rPr>
          <w:rFonts w:ascii="Calibri" w:cs="Calibri" w:eastAsia="Calibri" w:hAnsi="Calibri"/>
          <w:b/>
          <w:bCs/>
          <w:color w:val="262626"/>
        </w:rPr>
        <w:t xml:space="preserve">1. Pre-position battery buffers before summer.</w:t>
      </w:r>
      <w:r>
        <w:rPr>
          <w:rFonts w:ascii="Calibri" w:cs="Calibri" w:eastAsia="Calibri" w:hAnsi="Calibri"/>
          <w:color w:val="262626"/>
        </w:rPr>
        <w:t xml:space="preserve"> Increase charged-battery stock and quarantine-clearing priority at Jaipur and Delhi NCR stations by an estimated 20–30% from March through June, using the recurring April–June spike to trigger advance planning rather than a reactive response.</w:t>
      </w:r>
    </w:p>
    <w:p>
      <w:pPr>
        <w:pStyle w:val="ListParagraph"/>
        <w:numPr>
          <w:ilvl w:val="0"/>
          <w:numId w:val="2"/>
        </w:numPr>
        <w:spacing w:after="100" w:line="276"/>
      </w:pPr>
      <w:r>
        <w:rPr>
          <w:rFonts w:ascii="Calibri" w:cs="Calibri" w:eastAsia="Calibri" w:hAnsi="Calibri"/>
          <w:b/>
          <w:bCs/>
          <w:color w:val="262626"/>
        </w:rPr>
        <w:t xml:space="preserve">2. Target backup power at the highest-anomaly stations first.</w:t>
      </w:r>
      <w:r>
        <w:rPr>
          <w:rFonts w:ascii="Calibri" w:cs="Calibri" w:eastAsia="Calibri" w:hAnsi="Calibri"/>
          <w:color w:val="262626"/>
        </w:rPr>
        <w:t xml:space="preserve"> The roughly 15 stations flagged as top failure/anomaly outliers — mostly Launch-wave, Gen1, Jaipur/Delhi NCR — are where outage hours and battery quarantine compound the problem. Prioritize UPS and backup-power upgrades there before a network-wide rollout.</w:t>
      </w:r>
    </w:p>
    <w:p>
      <w:pPr>
        <w:pStyle w:val="ListParagraph"/>
        <w:numPr>
          <w:ilvl w:val="0"/>
          <w:numId w:val="2"/>
        </w:numPr>
        <w:spacing w:after="100" w:line="276"/>
      </w:pPr>
      <w:r>
        <w:rPr>
          <w:rFonts w:ascii="Calibri" w:cs="Calibri" w:eastAsia="Calibri" w:hAnsi="Calibri"/>
          <w:b/>
          <w:bCs/>
          <w:color w:val="262626"/>
        </w:rPr>
        <w:t xml:space="preserve">3. Retrofit legacy Launch-wave stations with later-wave improvements.</w:t>
      </w:r>
      <w:r>
        <w:rPr>
          <w:rFonts w:ascii="Calibri" w:cs="Calibri" w:eastAsia="Calibri" w:hAnsi="Calibri"/>
          <w:color w:val="262626"/>
        </w:rPr>
        <w:t xml:space="preserve"> Since Wave 1/2 stations run 0.8–1.0 percentage points more reliably, treat the highest-anomaly Launch-wave sites as priority candidates for the siting, hardware and battery-allocation changes already proven in later cohorts.</w:t>
      </w:r>
    </w:p>
    <w:p>
      <w:pPr>
        <w:pStyle w:val="ListParagraph"/>
        <w:numPr>
          <w:ilvl w:val="0"/>
          <w:numId w:val="2"/>
        </w:numPr>
        <w:spacing w:after="100" w:line="276"/>
      </w:pPr>
      <w:r>
        <w:rPr>
          <w:rFonts w:ascii="Calibri" w:cs="Calibri" w:eastAsia="Calibri" w:hAnsi="Calibri"/>
          <w:b/>
          <w:bCs/>
          <w:color w:val="262626"/>
        </w:rPr>
        <w:t xml:space="preserve">4. Feed the regression model into monthly planning.</w:t>
      </w:r>
      <w:r>
        <w:rPr>
          <w:rFonts w:ascii="Calibri" w:cs="Calibri" w:eastAsia="Calibri" w:hAnsi="Calibri"/>
          <w:color w:val="262626"/>
        </w:rPr>
        <w:t xml:space="preserve"> At R² = 0.66, it is reliable for city-level pre-positioning of batteries and staff, though not for single-station decisions — pair it with local judgment in Delhi NCR and Jaipur, where model error is highest.</w:t>
      </w:r>
    </w:p>
    <w:p>
      <w:pPr>
        <w:keepNext/>
        <w:spacing w:after="140" w:before="200"/>
      </w:pPr>
      <w:r>
        <w:rPr>
          <w:rFonts w:ascii="Calibri" w:cs="Calibri" w:eastAsia="Calibri" w:hAnsi="Calibri"/>
          <w:b/>
          <w:bCs/>
          <w:color w:val="44546A"/>
          <w:sz w:val="24"/>
          <w:szCs w:val="24"/>
        </w:rPr>
        <w:t xml:space="preserve">B. Retention &amp; revenue protection</w:t>
      </w:r>
    </w:p>
    <w:p>
      <w:pPr>
        <w:pStyle w:val="ListParagraph"/>
        <w:numPr>
          <w:ilvl w:val="0"/>
          <w:numId w:val="2"/>
        </w:numPr>
        <w:spacing w:after="100" w:line="276"/>
      </w:pPr>
      <w:r>
        <w:rPr>
          <w:rFonts w:ascii="Calibri" w:cs="Calibri" w:eastAsia="Calibri" w:hAnsi="Calibri"/>
          <w:b/>
          <w:bCs/>
          <w:color w:val="262626"/>
        </w:rPr>
        <w:t xml:space="preserve">5. Replace reliability-fix messaging with early-tenure engagement.</w:t>
      </w:r>
      <w:r>
        <w:rPr>
          <w:rFonts w:ascii="Calibri" w:cs="Calibri" w:eastAsia="Calibri" w:hAnsi="Calibri"/>
          <w:color w:val="262626"/>
        </w:rPr>
        <w:t xml:space="preserve"> Since churn tracks usage and tenure rather than failure exposure, invest in onboarding nudges and usage milestones (first 25/50/100 swaps) for new riders; fixing reliability alone is unlikely to move overall churn.</w:t>
      </w:r>
    </w:p>
    <w:p>
      <w:pPr>
        <w:pStyle w:val="ListParagraph"/>
        <w:numPr>
          <w:ilvl w:val="0"/>
          <w:numId w:val="2"/>
        </w:numPr>
        <w:spacing w:after="100" w:line="276"/>
      </w:pPr>
      <w:r>
        <w:rPr>
          <w:rFonts w:ascii="Calibri" w:cs="Calibri" w:eastAsia="Calibri" w:hAnsi="Calibri"/>
          <w:b/>
          <w:bCs/>
          <w:color w:val="262626"/>
        </w:rPr>
        <w:t xml:space="preserve">6. Deploy the Random Forest score as a monthly early-warning system.</w:t>
      </w:r>
      <w:r>
        <w:rPr>
          <w:rFonts w:ascii="Calibri" w:cs="Calibri" w:eastAsia="Calibri" w:hAnsi="Calibri"/>
          <w:color w:val="262626"/>
        </w:rPr>
        <w:t xml:space="preserve"> Score active riders every month and route the roughly 16% flagged High Risk into a retention workflow — targeted offers and priority support — where the model catches about three-quarters of eventual churners.</w:t>
      </w:r>
    </w:p>
    <w:p>
      <w:pPr>
        <w:pStyle w:val="ListParagraph"/>
        <w:numPr>
          <w:ilvl w:val="0"/>
          <w:numId w:val="2"/>
        </w:numPr>
        <w:spacing w:after="100" w:line="276"/>
      </w:pPr>
      <w:r>
        <w:rPr>
          <w:rFonts w:ascii="Calibri" w:cs="Calibri" w:eastAsia="Calibri" w:hAnsi="Calibri"/>
          <w:b/>
          <w:bCs/>
          <w:color w:val="262626"/>
        </w:rPr>
        <w:t xml:space="preserve">7. Concentrate retention spend on the two highest-value groups.</w:t>
      </w:r>
      <w:r>
        <w:rPr>
          <w:rFonts w:ascii="Calibri" w:cs="Calibri" w:eastAsia="Calibri" w:hAnsi="Calibri"/>
          <w:color w:val="262626"/>
        </w:rPr>
        <w:t xml:space="preserve"> Give the 14 Very-High-Risk-and-High-Revenue riders (₹18,244 average revenue) individual, personalized outreach, and give the top-66 high-risk cohort (27% of at-risk revenue) proactive win-back offers — rather than spreading budget evenly across all 656 flagged riders.</w:t>
      </w:r>
    </w:p>
    <w:p>
      <w:pPr>
        <w:pStyle w:val="ListParagraph"/>
        <w:numPr>
          <w:ilvl w:val="0"/>
          <w:numId w:val="2"/>
        </w:numPr>
        <w:spacing w:after="100" w:line="276"/>
      </w:pPr>
      <w:r>
        <w:rPr>
          <w:rFonts w:ascii="Calibri" w:cs="Calibri" w:eastAsia="Calibri" w:hAnsi="Calibri"/>
          <w:b/>
          <w:bCs/>
          <w:color w:val="262626"/>
        </w:rPr>
        <w:t xml:space="preserve">8. Fix billing-dispute handling as its own workstream.</w:t>
      </w:r>
      <w:r>
        <w:rPr>
          <w:rFonts w:ascii="Calibri" w:cs="Calibri" w:eastAsia="Calibri" w:hAnsi="Calibri"/>
          <w:color w:val="262626"/>
        </w:rPr>
        <w:t xml:space="preserve"> Billing disputes carry the highest churn association of any ticket category (31.7%); audit discount and tariff logic and shorten resolution times specifically for this category.</w:t>
      </w:r>
    </w:p>
    <w:p>
      <w:pPr>
        <w:pStyle w:val="ListParagraph"/>
        <w:numPr>
          <w:ilvl w:val="0"/>
          <w:numId w:val="2"/>
        </w:numPr>
        <w:spacing w:after="100" w:line="276"/>
      </w:pPr>
      <w:r>
        <w:rPr>
          <w:rFonts w:ascii="Calibri" w:cs="Calibri" w:eastAsia="Calibri" w:hAnsi="Calibri"/>
          <w:b/>
          <w:bCs/>
          <w:color w:val="262626"/>
        </w:rPr>
        <w:t xml:space="preserve">9. Work through fleet partners for the largest exposure segment.</w:t>
      </w:r>
      <w:r>
        <w:rPr>
          <w:rFonts w:ascii="Calibri" w:cs="Calibri" w:eastAsia="Calibri" w:hAnsi="Calibri"/>
          <w:color w:val="262626"/>
        </w:rPr>
        <w:t xml:space="preserve"> 2W, partner-billed, fleet-partner riders account for 55% of at-risk revenue — pair individual retention offers with partner-level SLA and incentive conversations.</w:t>
      </w:r>
    </w:p>
    <w:p>
      <w:pPr>
        <w:keepNext/>
        <w:spacing w:after="140" w:before="200"/>
      </w:pPr>
      <w:r>
        <w:rPr>
          <w:rFonts w:ascii="Calibri" w:cs="Calibri" w:eastAsia="Calibri" w:hAnsi="Calibri"/>
          <w:b/>
          <w:bCs/>
          <w:color w:val="44546A"/>
          <w:sz w:val="24"/>
          <w:szCs w:val="24"/>
        </w:rPr>
        <w:t xml:space="preserve">C. Measurement &amp; next steps</w:t>
      </w:r>
    </w:p>
    <w:p>
      <w:pPr>
        <w:pStyle w:val="ListParagraph"/>
        <w:numPr>
          <w:ilvl w:val="0"/>
          <w:numId w:val="2"/>
        </w:numPr>
        <w:spacing w:after="100" w:line="276"/>
      </w:pPr>
      <w:r>
        <w:rPr>
          <w:rFonts w:ascii="Calibri" w:cs="Calibri" w:eastAsia="Calibri" w:hAnsi="Calibri"/>
          <w:b/>
          <w:bCs/>
          <w:color w:val="262626"/>
        </w:rPr>
        <w:t xml:space="preserve">10. Re-examine the churn definition before acting further on it.</w:t>
      </w:r>
      <w:r>
        <w:rPr>
          <w:rFonts w:ascii="Calibri" w:cs="Calibri" w:eastAsia="Calibri" w:hAnsi="Calibri"/>
          <w:color w:val="262626"/>
        </w:rPr>
        <w:t xml:space="preserve"> The current 60-day inactivity label is confounded with tenure — new riders can appear to have churned before they have had time to build a usage history. A cohort-adjusted or survival-analysis approach would separate genuine attrition from normal ramp-up and sharpen every downstream churn insight.</w:t>
      </w:r>
    </w:p>
    <w:p>
      <w:pPr>
        <w:pStyle w:val="ListParagraph"/>
        <w:numPr>
          <w:ilvl w:val="0"/>
          <w:numId w:val="2"/>
        </w:numPr>
        <w:spacing w:after="100" w:line="276"/>
      </w:pPr>
      <w:r>
        <w:rPr>
          <w:rFonts w:ascii="Calibri" w:cs="Calibri" w:eastAsia="Calibri" w:hAnsi="Calibri"/>
          <w:b/>
          <w:bCs/>
          <w:color w:val="262626"/>
        </w:rPr>
        <w:t xml:space="preserve">11. Extend the failure model with station-specific variables.</w:t>
      </w:r>
      <w:r>
        <w:rPr>
          <w:rFonts w:ascii="Calibri" w:cs="Calibri" w:eastAsia="Calibri" w:hAnsi="Calibri"/>
          <w:color w:val="262626"/>
        </w:rPr>
        <w:t xml:space="preserve"> The largest prediction errors (up to roughly 7 percentage points) and the persistent Delhi NCR/Jaipur gap suggest missing local factors; staffing levels, footfall and nearby competitor density are logical next additions.</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8C8C8C"/>
        <w:sz w:val="15"/>
        <w:szCs w:val="15"/>
      </w:rPr>
      <w:t xml:space="preserve">Confidential — prepared for internal use</w:t>
    </w:r>
    <w:r>
      <w:rPr>
        <w:rFonts w:ascii="Calibri" w:cs="Calibri" w:eastAsia="Calibri" w:hAnsi="Calibri"/>
      </w:rPr>
      <w:t xml:space="preserve">	</w:t>
    </w:r>
    <w:r>
      <w:rPr>
        <w:rFonts w:ascii="Calibri" w:cs="Calibri" w:eastAsia="Calibri" w:hAnsi="Calibri"/>
        <w:color w:val="8C8C8C"/>
        <w:sz w:val="15"/>
        <w:szCs w:val="15"/>
      </w:rPr>
      <w:t xml:space="preserve">Page </w:t>
    </w:r>
    <w:r>
      <w:rPr>
        <w:rFonts w:ascii="Calibri" w:cs="Calibri" w:eastAsia="Calibri" w:hAnsi="Calibri"/>
        <w:color w:val="8C8C8C"/>
        <w:sz w:val="15"/>
        <w:szCs w:val="15"/>
      </w:rPr>
      <w:fldChar w:fldCharType="begin"/>
      <w:instrText xml:space="preserve">PAGE</w:instrText>
      <w:fldChar w:fldCharType="separate"/>
      <w:fldChar w:fldCharType="end"/>
    </w:r>
    <w:r>
      <w:rPr>
        <w:rFonts w:ascii="Calibri" w:cs="Calibri" w:eastAsia="Calibri" w:hAnsi="Calibri"/>
        <w:color w:val="8C8C8C"/>
        <w:sz w:val="15"/>
        <w:szCs w:val="15"/>
      </w:rPr>
      <w:t xml:space="preserve"> of </w:t>
    </w:r>
    <w:r>
      <w:rPr>
        <w:rFonts w:ascii="Calibri" w:cs="Calibri" w:eastAsia="Calibri" w:hAnsi="Calibri"/>
        <w:color w:val="8C8C8C"/>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8C8C8C"/>
        <w:sz w:val="15"/>
        <w:szCs w:val="15"/>
      </w:rPr>
      <w:t xml:space="preserve">EV Battery-Swap Network — Service Reliability &amp; Rider Churn Risk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2026-09-26T18:13:29.375Z</dcterms:created>
  <dcterms:modified xsi:type="dcterms:W3CDTF">2026-09-26T18:13:29.375Z</dcterms:modified>
</cp:coreProperties>
</file>

<file path=docProps/custom.xml><?xml version="1.0" encoding="utf-8"?>
<Properties xmlns="http://schemas.openxmlformats.org/officeDocument/2006/custom-properties" xmlns:vt="http://schemas.openxmlformats.org/officeDocument/2006/docPropsVTypes"/>
</file>