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SDLC Report</w:t>
      </w:r>
    </w:p>
    <w:p>
      <w:pPr>
        <w:pStyle w:val="Heading1"/>
      </w:pPr>
      <w:r>
        <w:t>Model Used</w:t>
      </w:r>
    </w:p>
    <w:p>
      <w:r>
        <w:t>Waterfall Model</w:t>
      </w:r>
    </w:p>
    <w:p>
      <w:pPr>
        <w:pStyle w:val="Heading1"/>
      </w:pPr>
      <w:r>
        <w:t>Phases</w:t>
      </w:r>
    </w:p>
    <w:p>
      <w:r>
        <w:t>1. Requirement Analysis</w:t>
        <w:br/>
        <w:t>2. System Design</w:t>
        <w:br/>
        <w:t>3. Implementation</w:t>
        <w:br/>
        <w:t>4. Testing</w:t>
        <w:br/>
        <w:t>5. Deployment</w:t>
        <w:br/>
        <w:t>6. Maintenance</w:t>
      </w:r>
    </w:p>
    <w:p>
      <w:pPr>
        <w:pStyle w:val="Heading1"/>
      </w:pPr>
      <w:r>
        <w:t>Justification</w:t>
      </w:r>
    </w:p>
    <w:p>
      <w:r>
        <w:t>Waterfall model was chosen due to the clear and sequential process it offers for academic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