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Tech Spec — TK-3</w:t>
      </w:r>
    </w:p>
    <w:p>
      <w:pPr>
        <w:pStyle w:val="Heading2"/>
      </w:pPr>
      <w:r>
        <w:t>Summary</w:t>
      </w:r>
    </w:p>
    <w:p>
      <w:r>
        <w:t>End-to-end verification of docx preview: headings, paragraphs, bold text, and a table.</w:t>
      </w:r>
    </w:p>
    <w:p>
      <w:r>
        <w:rPr>
          <w:b/>
        </w:rPr>
        <w:t>This sentence should render bold.</w:t>
      </w:r>
    </w:p>
    <w:p>
      <w:pPr>
        <w:pStyle w:val="Heading2"/>
      </w:pPr>
      <w:r>
        <w:t>Acceptance Criteria</w:t>
      </w:r>
    </w:p>
    <w:tbl>
      <w:tr>
        <w:tc>
          <w:p>
            <w:r>
              <w:t>Criterion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Preview renders inline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Download works</w:t>
            </w:r>
          </w:p>
        </w:tc>
        <w:tc>
          <w:p>
            <w:r>
              <w:t>Pass</w:t>
            </w:r>
          </w:p>
        </w:tc>
      </w:tr>
    </w:tbl>
  </w:body>
</w:document>
</file>