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31E55317"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0326BB17"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 xml:space="preserve">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w:t>
      </w:r>
      <w:r w:rsidRPr="00135332">
        <w:rPr>
          <w:rFonts w:ascii="Times New Roman" w:eastAsia="Times New Roman" w:hAnsi="Times New Roman" w:cs="Times New Roman"/>
          <w:bCs/>
          <w:sz w:val="22"/>
          <w:szCs w:val="22"/>
        </w:rPr>
        <w:t>number</w:t>
      </w:r>
      <w:r w:rsidRPr="00135332">
        <w:rPr>
          <w:rFonts w:ascii="Times New Roman" w:eastAsia="Times New Roman" w:hAnsi="Times New Roman" w:cs="Times New Roman"/>
          <w:bCs/>
          <w:sz w:val="22"/>
          <w:szCs w:val="22"/>
        </w:rPr>
        <w:t xml:space="preserve">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528BBDE5"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6CD7206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Null hypothesis and alternative hypothesis (H0/H1)</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7B49016" w14:textId="77777777" w:rsidR="00F36FD1" w:rsidRDefault="00F36FD1" w:rsidP="00F36FD1">
      <w:pPr>
        <w:pStyle w:val="ListParagraph"/>
        <w:rPr>
          <w:rFonts w:ascii="Times New Roman" w:eastAsia="Times New Roman" w:hAnsi="Times New Roman" w:cs="Times New Roman"/>
        </w:rPr>
      </w:pPr>
    </w:p>
    <w:p w14:paraId="4556CB4C" w14:textId="622690F5"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w:t>
      </w:r>
    </w:p>
    <w:p w14:paraId="4FCB35FE" w14:textId="51EDA469" w:rsidR="7FBAA7B2" w:rsidRDefault="7FBAA7B2" w:rsidP="00F36FD1">
      <w:pPr>
        <w:pStyle w:val="ListParagraph"/>
        <w:ind w:left="2160" w:hanging="720"/>
        <w:rPr>
          <w:rFonts w:ascii="Times New Roman" w:eastAsia="Times New Roman" w:hAnsi="Times New Roman" w:cs="Times New Roman"/>
          <w:i/>
        </w:rPr>
      </w:pPr>
    </w:p>
    <w:p w14:paraId="25DD8EEB"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1 Summary (COVID-19 Superspreading Events)</w:t>
      </w:r>
    </w:p>
    <w:p w14:paraId="3FC08AE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89D052C" w14:textId="40CB2F83"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lastRenderedPageBreak/>
        <w:t>Endo et al. (2020)</w:t>
      </w:r>
      <w:r w:rsidRPr="00F36FD1">
        <w:rPr>
          <w:rFonts w:ascii="Times New Roman" w:eastAsia="Times New Roman" w:hAnsi="Times New Roman" w:cs="Times New Roman"/>
          <w:iCs/>
          <w:sz w:val="22"/>
          <w:szCs w:val="22"/>
        </w:rPr>
        <w:t xml:space="preserve"> </w:t>
      </w:r>
      <w:r w:rsidRPr="00F36FD1">
        <w:rPr>
          <w:rFonts w:ascii="Times New Roman" w:eastAsia="Times New Roman" w:hAnsi="Times New Roman" w:cs="Times New Roman"/>
          <w:iCs/>
          <w:sz w:val="22"/>
          <w:szCs w:val="22"/>
        </w:rPr>
        <w:t>analysed</w:t>
      </w:r>
      <w:r w:rsidRPr="00F36FD1">
        <w:rPr>
          <w:rFonts w:ascii="Times New Roman" w:eastAsia="Times New Roman" w:hAnsi="Times New Roman" w:cs="Times New Roman"/>
          <w:iCs/>
          <w:sz w:val="22"/>
          <w:szCs w:val="22"/>
        </w:rPr>
        <w:t xml:space="preserve"> the role of superspreading events as part of COVID-19 transmissions. Their analysis demonstrated that relatively few clusters accounted for </w:t>
      </w:r>
      <w:r w:rsidRPr="00F36FD1">
        <w:rPr>
          <w:rFonts w:ascii="Times New Roman" w:eastAsia="Times New Roman" w:hAnsi="Times New Roman" w:cs="Times New Roman"/>
          <w:iCs/>
          <w:sz w:val="22"/>
          <w:szCs w:val="22"/>
        </w:rPr>
        <w:t>most of</w:t>
      </w:r>
      <w:r w:rsidRPr="00F36FD1">
        <w:rPr>
          <w:rFonts w:ascii="Times New Roman" w:eastAsia="Times New Roman" w:hAnsi="Times New Roman" w:cs="Times New Roman"/>
          <w:iCs/>
          <w:sz w:val="22"/>
          <w:szCs w:val="22"/>
        </w:rPr>
        <w:t xml:space="preserve"> all cases while </w:t>
      </w:r>
      <w:r w:rsidRPr="00F36FD1">
        <w:rPr>
          <w:rFonts w:ascii="Times New Roman" w:eastAsia="Times New Roman" w:hAnsi="Times New Roman" w:cs="Times New Roman"/>
          <w:iCs/>
          <w:sz w:val="22"/>
          <w:szCs w:val="22"/>
        </w:rPr>
        <w:t>most</w:t>
      </w:r>
      <w:r w:rsidRPr="00F36FD1">
        <w:rPr>
          <w:rFonts w:ascii="Times New Roman" w:eastAsia="Times New Roman" w:hAnsi="Times New Roman" w:cs="Times New Roman"/>
          <w:iCs/>
          <w:sz w:val="22"/>
          <w:szCs w:val="22"/>
        </w:rPr>
        <w:t xml:space="preserve"> single case infections generated few subsequent cases. The diversity in the size of individual outbreaks illustrates that when individuals become infected </w:t>
      </w:r>
      <w:r w:rsidRPr="00F36FD1">
        <w:rPr>
          <w:rFonts w:ascii="Times New Roman" w:eastAsia="Times New Roman" w:hAnsi="Times New Roman" w:cs="Times New Roman"/>
          <w:iCs/>
          <w:sz w:val="22"/>
          <w:szCs w:val="22"/>
        </w:rPr>
        <w:t>collectively,</w:t>
      </w:r>
      <w:r w:rsidRPr="00F36FD1">
        <w:rPr>
          <w:rFonts w:ascii="Times New Roman" w:eastAsia="Times New Roman" w:hAnsi="Times New Roman" w:cs="Times New Roman"/>
          <w:iCs/>
          <w:sz w:val="22"/>
          <w:szCs w:val="22"/>
        </w:rPr>
        <w:t xml:space="preserve"> they will experience a much greater increase in the size of their transmission events. This provides evidence supporting why we would compare the average outbreak size from cluster related cases and non-cluster related cases within our data set.</w:t>
      </w:r>
    </w:p>
    <w:p w14:paraId="1ADC599B"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12664303"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2 Summary (Cluster-based vs. sporadic infections)</w:t>
      </w:r>
    </w:p>
    <w:p w14:paraId="78258A4D"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3379F5D" w14:textId="3BA5F547"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t xml:space="preserve">Adam et al. (2020) studied over 1000 COVID-19 cases </w:t>
      </w:r>
      <w:r w:rsidRPr="00F36FD1">
        <w:rPr>
          <w:rFonts w:ascii="Times New Roman" w:eastAsia="Times New Roman" w:hAnsi="Times New Roman" w:cs="Times New Roman"/>
          <w:iCs/>
          <w:sz w:val="22"/>
          <w:szCs w:val="22"/>
        </w:rPr>
        <w:t>to</w:t>
      </w:r>
      <w:r w:rsidRPr="00F36FD1">
        <w:rPr>
          <w:rFonts w:ascii="Times New Roman" w:eastAsia="Times New Roman" w:hAnsi="Times New Roman" w:cs="Times New Roman"/>
          <w:iCs/>
          <w:sz w:val="22"/>
          <w:szCs w:val="22"/>
        </w:rPr>
        <w:t xml:space="preserve"> determine if cluster-based outbreaks produce more cases than sporadic cases. They concluded that the environment and </w:t>
      </w:r>
      <w:r w:rsidRPr="00F36FD1">
        <w:rPr>
          <w:rFonts w:ascii="Times New Roman" w:eastAsia="Times New Roman" w:hAnsi="Times New Roman" w:cs="Times New Roman"/>
          <w:iCs/>
          <w:sz w:val="22"/>
          <w:szCs w:val="22"/>
        </w:rPr>
        <w:t>behaviours</w:t>
      </w:r>
      <w:r w:rsidRPr="00F36FD1">
        <w:rPr>
          <w:rFonts w:ascii="Times New Roman" w:eastAsia="Times New Roman" w:hAnsi="Times New Roman" w:cs="Times New Roman"/>
          <w:iCs/>
          <w:sz w:val="22"/>
          <w:szCs w:val="22"/>
        </w:rPr>
        <w:t xml:space="preserve"> within cluster settings provided conditions leading to </w:t>
      </w:r>
      <w:r w:rsidRPr="00F36FD1">
        <w:rPr>
          <w:rFonts w:ascii="Times New Roman" w:eastAsia="Times New Roman" w:hAnsi="Times New Roman" w:cs="Times New Roman"/>
          <w:iCs/>
          <w:sz w:val="22"/>
          <w:szCs w:val="22"/>
        </w:rPr>
        <w:t>many</w:t>
      </w:r>
      <w:r w:rsidRPr="00F36FD1">
        <w:rPr>
          <w:rFonts w:ascii="Times New Roman" w:eastAsia="Times New Roman" w:hAnsi="Times New Roman" w:cs="Times New Roman"/>
          <w:iCs/>
          <w:sz w:val="22"/>
          <w:szCs w:val="22"/>
        </w:rPr>
        <w:t xml:space="preserve"> cases relative to sporadic cases. This is directly related to our research question regarding </w:t>
      </w:r>
      <w:r w:rsidRPr="00F36FD1">
        <w:rPr>
          <w:rFonts w:ascii="Times New Roman" w:eastAsia="Times New Roman" w:hAnsi="Times New Roman" w:cs="Times New Roman"/>
          <w:iCs/>
          <w:sz w:val="22"/>
          <w:szCs w:val="22"/>
        </w:rPr>
        <w:t>whether</w:t>
      </w:r>
      <w:r w:rsidRPr="00F36FD1">
        <w:rPr>
          <w:rFonts w:ascii="Times New Roman" w:eastAsia="Times New Roman" w:hAnsi="Times New Roman" w:cs="Times New Roman"/>
          <w:iCs/>
          <w:sz w:val="22"/>
          <w:szCs w:val="22"/>
        </w:rPr>
        <w:t xml:space="preserve"> collective events (group=TRUE) generate a larger mean number of confirmed cases than non-collective events.</w:t>
      </w:r>
    </w:p>
    <w:p w14:paraId="17E9822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743239E6"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3 Summary (Variation in cluster sizes across locations)</w:t>
      </w:r>
    </w:p>
    <w:p w14:paraId="45E42DCE"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61DEC5F4" w14:textId="7D801FE5" w:rsidR="00F36FD1" w:rsidRPr="00F36FD1" w:rsidRDefault="00F36FD1" w:rsidP="00F36FD1">
      <w:pPr>
        <w:pStyle w:val="ListParagraph"/>
        <w:ind w:left="1418" w:firstLine="22"/>
        <w:rPr>
          <w:rFonts w:ascii="Times New Roman" w:eastAsia="Times New Roman" w:hAnsi="Times New Roman" w:cs="Times New Roman"/>
          <w:iCs/>
        </w:rPr>
      </w:pPr>
      <w:r w:rsidRPr="00F36FD1">
        <w:rPr>
          <w:rFonts w:ascii="Times New Roman" w:eastAsia="Times New Roman" w:hAnsi="Times New Roman" w:cs="Times New Roman"/>
          <w:iCs/>
          <w:sz w:val="22"/>
          <w:szCs w:val="22"/>
        </w:rPr>
        <w:t xml:space="preserve">Kim et al. (2021) studied COVID-19 cluster outbreaks in South Korea and determined that there was considerable variation in cluster sizes based upon the specific location, nature of the event, and the social </w:t>
      </w:r>
      <w:r w:rsidRPr="00F36FD1">
        <w:rPr>
          <w:rFonts w:ascii="Times New Roman" w:eastAsia="Times New Roman" w:hAnsi="Times New Roman" w:cs="Times New Roman"/>
          <w:iCs/>
          <w:sz w:val="22"/>
          <w:szCs w:val="22"/>
        </w:rPr>
        <w:t>behaviour</w:t>
      </w:r>
      <w:r w:rsidRPr="00F36FD1">
        <w:rPr>
          <w:rFonts w:ascii="Times New Roman" w:eastAsia="Times New Roman" w:hAnsi="Times New Roman" w:cs="Times New Roman"/>
          <w:iCs/>
          <w:sz w:val="22"/>
          <w:szCs w:val="22"/>
        </w:rPr>
        <w:t xml:space="preserve"> of those attending. Large clusters were typically attributed to groups meeting together, whereas isolated cases rarely had more than a small number of additional cases. Kim et al.'s findings illustrate the need to compare cluster sizes to each other, thereby further justifying the comparison of mean cluster sizes between collective (TRUE) and non-collective (FALSE) cases in the Case.csv dataset.</w:t>
      </w:r>
    </w:p>
    <w:p w14:paraId="26956130" w14:textId="77777777" w:rsidR="00F36FD1" w:rsidRDefault="00F36FD1" w:rsidP="00F36FD1">
      <w:pPr>
        <w:pStyle w:val="ListParagraph"/>
        <w:ind w:left="2160" w:hanging="720"/>
        <w:rPr>
          <w:rFonts w:ascii="Times New Roman" w:eastAsia="Times New Roman" w:hAnsi="Times New Roman" w:cs="Times New Roman"/>
        </w:rPr>
      </w:pPr>
    </w:p>
    <w:p w14:paraId="13395A3D" w14:textId="1CE7200F"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w:t>
      </w:r>
    </w:p>
    <w:p w14:paraId="6098E69B" w14:textId="77777777" w:rsidR="007406D4" w:rsidRDefault="007406D4" w:rsidP="007406D4">
      <w:pPr>
        <w:pStyle w:val="ListParagraph"/>
        <w:ind w:left="1440"/>
        <w:rPr>
          <w:rFonts w:ascii="Times New Roman" w:eastAsia="Times New Roman" w:hAnsi="Times New Roman" w:cs="Times New Roman"/>
        </w:rPr>
      </w:pPr>
    </w:p>
    <w:p w14:paraId="0CCFCB20"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Importance of RQ Understanding the difference between the number of cases in each type of outbreak event - cluster vs. individual – is key to evaluating the ways in which COVID-19 has transmitted through various social environments in different areas of the world. Previous research indicates that cluster-based transmission tends to disproportionately generate a high number of cases relative to other types of events. Research, however, generally compares cluster-based events to non-cluster-based events within only a few limited contexts - i.e., church gatherings; workplace transmissions; etc., rather than examining cluster and non-cluster events on a larger national scale. Thus, the primary contribution of the current study addresses the above-described research gap and examines cluster-based transmission dynamics when compared with individual-based transmission on a national scale by analysing the size of outbreaks generated through TRUE (collective) versus FALSE (isolated) infection events across many of the provinces in South Korea.</w:t>
      </w:r>
    </w:p>
    <w:p w14:paraId="1AB04F90"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78E8FEFB"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This study will be able to demonstrate if the average number of confirmed cases resulting from collective outbreak events are significantly greater than those resulting from isolated outbreak events across the same national dataset. The results of this analysis will provide further support for previous research indicating that cluster-based transmission generates significantly greater numbers of cases than individual-based transmission due to superspreading and variability in transmission rates. </w:t>
      </w:r>
    </w:p>
    <w:p w14:paraId="1D8AE1D1"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28EBBBDB" w14:textId="7405C15A"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Building upon this study, future studies could expand upon this work by including additional variables, such as population density; patterns of movement; etc.; to </w:t>
      </w:r>
      <w:r w:rsidRPr="007406D4">
        <w:rPr>
          <w:rFonts w:ascii="Times New Roman" w:eastAsia="Times New Roman" w:hAnsi="Times New Roman" w:cs="Times New Roman"/>
          <w:sz w:val="22"/>
          <w:szCs w:val="22"/>
        </w:rPr>
        <w:lastRenderedPageBreak/>
        <w:t>improve the researchers' ability to identify factors contributing to large cluster-based outbreaks. Additionally, spatial modelling of the data collected for this study could include use of latitude and longitude values to further analyse geographic transmission patterns.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14A5CB78" w14:textId="77BFAE94" w:rsidR="00F36FD1" w:rsidRPr="00F36FD1" w:rsidRDefault="5D5E0517" w:rsidP="00311D61">
      <w:pPr>
        <w:pStyle w:val="ListParagraph"/>
        <w:numPr>
          <w:ilvl w:val="1"/>
          <w:numId w:val="32"/>
        </w:numPr>
        <w:ind w:hanging="720"/>
        <w:rPr>
          <w:rFonts w:ascii="Times New Roman" w:eastAsia="Times New Roman" w:hAnsi="Times New Roman" w:cs="Times New Roman"/>
        </w:rPr>
      </w:pPr>
      <w:r w:rsidRPr="00F36FD1">
        <w:rPr>
          <w:rFonts w:ascii="Times New Roman" w:eastAsia="Times New Roman" w:hAnsi="Times New Roman" w:cs="Times New Roman"/>
        </w:rPr>
        <w:t xml:space="preserve">Appropriate </w:t>
      </w:r>
      <w:r w:rsidR="00CF2D90" w:rsidRPr="00F36FD1">
        <w:rPr>
          <w:rFonts w:ascii="Times New Roman" w:eastAsia="Times New Roman" w:hAnsi="Times New Roman" w:cs="Times New Roman"/>
        </w:rPr>
        <w:t>graphs</w:t>
      </w:r>
      <w:r w:rsidRPr="00F36FD1">
        <w:rPr>
          <w:rFonts w:ascii="Times New Roman" w:eastAsia="Times New Roman" w:hAnsi="Times New Roman" w:cs="Times New Roman"/>
        </w:rPr>
        <w:t xml:space="preserve"> for the RQ </w:t>
      </w:r>
    </w:p>
    <w:p w14:paraId="07417970" w14:textId="77777777" w:rsidR="00F36FD1" w:rsidRPr="00F36FD1" w:rsidRDefault="00F36FD1" w:rsidP="00F36FD1">
      <w:pPr>
        <w:pStyle w:val="ListParagraph"/>
        <w:ind w:left="1440"/>
        <w:rPr>
          <w:rFonts w:ascii="Times New Roman" w:eastAsia="Times New Roman" w:hAnsi="Times New Roman" w:cs="Times New Roman"/>
        </w:rPr>
      </w:pPr>
    </w:p>
    <w:p w14:paraId="16D2A7D9" w14:textId="5DDF1765" w:rsidR="00F36FD1" w:rsidRDefault="00F36FD1" w:rsidP="00F36FD1">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2916491" wp14:editId="2ECBF794">
            <wp:extent cx="3785616" cy="2523604"/>
            <wp:effectExtent l="0" t="0" r="0" b="3810"/>
            <wp:docPr id="494040598" name="Picture 3" descr="A chart with green and blu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40598" name="Picture 3" descr="A chart with green and blue rectangular objec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6384" cy="2544115"/>
                    </a:xfrm>
                    <a:prstGeom prst="rect">
                      <a:avLst/>
                    </a:prstGeom>
                  </pic:spPr>
                </pic:pic>
              </a:graphicData>
            </a:graphic>
          </wp:inline>
        </w:drawing>
      </w:r>
    </w:p>
    <w:p w14:paraId="7AA5CB45" w14:textId="00C63CD1" w:rsidR="7FBAA7B2" w:rsidRDefault="7FBAA7B2" w:rsidP="00F36FD1">
      <w:pPr>
        <w:pStyle w:val="ListParagraph"/>
        <w:ind w:left="1440"/>
        <w:rPr>
          <w:rFonts w:ascii="Times New Roman" w:eastAsia="Times New Roman" w:hAnsi="Times New Roman" w:cs="Times New Roman"/>
          <w:i/>
          <w:iCs/>
        </w:rPr>
      </w:pPr>
    </w:p>
    <w:p w14:paraId="166490F0" w14:textId="060B5A16" w:rsidR="00F36FD1" w:rsidRPr="00F36FD1" w:rsidRDefault="00F36FD1" w:rsidP="00F36FD1">
      <w:pPr>
        <w:pStyle w:val="ListParagraph"/>
        <w:ind w:left="1440"/>
        <w:rPr>
          <w:rFonts w:ascii="Times New Roman" w:eastAsia="Times New Roman" w:hAnsi="Times New Roman" w:cs="Times New Roman"/>
          <w:sz w:val="22"/>
          <w:szCs w:val="22"/>
        </w:rPr>
      </w:pPr>
      <w:r w:rsidRPr="00F36FD1">
        <w:rPr>
          <w:rFonts w:ascii="Times New Roman" w:eastAsia="Times New Roman" w:hAnsi="Times New Roman" w:cs="Times New Roman"/>
          <w:sz w:val="22"/>
          <w:szCs w:val="22"/>
        </w:rPr>
        <w:t>The log-transformed boxplot shows that collective infection events (TRUE) appear to have greater variability and a higher median compared to isolated events (FALSE). These visual patterns suggest differences in outbreak size between the groups; however, statistical testing is required to determine whether these differences are significant.</w:t>
      </w:r>
    </w:p>
    <w:p w14:paraId="702B00DB" w14:textId="77777777" w:rsidR="00F36FD1" w:rsidRDefault="00F36FD1" w:rsidP="00F36FD1">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6CE4C443"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p>
    <w:p w14:paraId="2A1FB9D6" w14:textId="4B12B9EF" w:rsidR="00F32764" w:rsidRDefault="00F32764" w:rsidP="00F32764">
      <w:pPr>
        <w:pStyle w:val="ListParagraph"/>
        <w:ind w:left="1440"/>
        <w:rPr>
          <w:rFonts w:ascii="Times New Roman" w:eastAsia="Times New Roman" w:hAnsi="Times New Roman" w:cs="Times New Roman"/>
          <w:i/>
          <w:iCs/>
        </w:rPr>
      </w:pPr>
    </w:p>
    <w:p w14:paraId="01696226" w14:textId="26EEE893" w:rsidR="00F32764" w:rsidRPr="00F32764" w:rsidRDefault="00F32764" w:rsidP="00F32764">
      <w:pPr>
        <w:pStyle w:val="ListParagraph"/>
        <w:ind w:left="1440"/>
        <w:rPr>
          <w:rFonts w:ascii="Times New Roman" w:eastAsia="Times New Roman" w:hAnsi="Times New Roman" w:cs="Times New Roman"/>
          <w:i/>
          <w:iCs/>
        </w:rPr>
      </w:pPr>
      <w:r>
        <w:rPr>
          <w:rFonts w:ascii="Times New Roman" w:eastAsia="Times New Roman" w:hAnsi="Times New Roman" w:cs="Times New Roman"/>
          <w:noProof/>
        </w:rPr>
        <w:drawing>
          <wp:inline distT="0" distB="0" distL="0" distR="0" wp14:anchorId="365D1DDA" wp14:editId="2D4F14DB">
            <wp:extent cx="4306824" cy="2768468"/>
            <wp:effectExtent l="0" t="0" r="0" b="635"/>
            <wp:docPr id="1110162457" name="Picture 4"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2457" name="Picture 4" descr="A graph of a number of blue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42393" cy="2791332"/>
                    </a:xfrm>
                    <a:prstGeom prst="rect">
                      <a:avLst/>
                    </a:prstGeom>
                  </pic:spPr>
                </pic:pic>
              </a:graphicData>
            </a:graphic>
          </wp:inline>
        </w:drawing>
      </w:r>
    </w:p>
    <w:p w14:paraId="3A77B69C" w14:textId="77777777" w:rsidR="00F32764" w:rsidRPr="00EB6B27" w:rsidRDefault="00F32764" w:rsidP="7FBAA7B2">
      <w:pPr>
        <w:ind w:left="1440"/>
        <w:rPr>
          <w:rFonts w:ascii="Times New Roman" w:eastAsia="Times New Roman" w:hAnsi="Times New Roman" w:cs="Times New Roman"/>
          <w:sz w:val="22"/>
          <w:szCs w:val="22"/>
        </w:rPr>
      </w:pPr>
    </w:p>
    <w:p w14:paraId="272F87D7" w14:textId="77186A47" w:rsidR="00F32764" w:rsidRPr="00EB6B27" w:rsidRDefault="00EB6B27" w:rsidP="7FBAA7B2">
      <w:pPr>
        <w:ind w:left="1440"/>
        <w:rPr>
          <w:rFonts w:ascii="Times New Roman" w:eastAsia="Times New Roman" w:hAnsi="Times New Roman" w:cs="Times New Roman"/>
          <w:sz w:val="22"/>
          <w:szCs w:val="22"/>
        </w:rPr>
      </w:pPr>
      <w:r w:rsidRPr="00EB6B27">
        <w:rPr>
          <w:rFonts w:ascii="Times New Roman" w:eastAsia="Times New Roman" w:hAnsi="Times New Roman" w:cs="Times New Roman"/>
          <w:sz w:val="22"/>
          <w:szCs w:val="22"/>
        </w:rPr>
        <w:t xml:space="preserve">Variation in outbreak size is shown by the bar plot for many of the South Korean provinces. </w:t>
      </w:r>
      <w:r w:rsidR="0011288E" w:rsidRPr="00EB6B27">
        <w:rPr>
          <w:rFonts w:ascii="Times New Roman" w:eastAsia="Times New Roman" w:hAnsi="Times New Roman" w:cs="Times New Roman"/>
          <w:sz w:val="22"/>
          <w:szCs w:val="22"/>
        </w:rPr>
        <w:t>Most of</w:t>
      </w:r>
      <w:r w:rsidRPr="00EB6B27">
        <w:rPr>
          <w:rFonts w:ascii="Times New Roman" w:eastAsia="Times New Roman" w:hAnsi="Times New Roman" w:cs="Times New Roman"/>
          <w:sz w:val="22"/>
          <w:szCs w:val="22"/>
        </w:rPr>
        <w:t xml:space="preserve"> the provinces showed a smaller average number of cases than Daegu (which had </w:t>
      </w:r>
      <w:r w:rsidR="0011288E" w:rsidRPr="00EB6B27">
        <w:rPr>
          <w:rFonts w:ascii="Times New Roman" w:eastAsia="Times New Roman" w:hAnsi="Times New Roman" w:cs="Times New Roman"/>
          <w:sz w:val="22"/>
          <w:szCs w:val="22"/>
        </w:rPr>
        <w:t>many</w:t>
      </w:r>
      <w:r w:rsidRPr="00EB6B27">
        <w:rPr>
          <w:rFonts w:ascii="Times New Roman" w:eastAsia="Times New Roman" w:hAnsi="Times New Roman" w:cs="Times New Roman"/>
          <w:sz w:val="22"/>
          <w:szCs w:val="22"/>
        </w:rPr>
        <w:t xml:space="preserve"> cases due to superspreader events). The variations suggest that different regions have influenced the rate of transmission; and provide additional evidence for further statistical comparisons of how the outbreak has differed in each location.</w:t>
      </w:r>
    </w:p>
    <w:p w14:paraId="2786EF3C" w14:textId="77777777" w:rsidR="00EB6B27" w:rsidRDefault="00EB6B27" w:rsidP="7FBAA7B2">
      <w:pPr>
        <w:ind w:left="1440"/>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lastRenderedPageBreak/>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68A17" w14:textId="77777777" w:rsidR="007A3B2E" w:rsidRDefault="007A3B2E" w:rsidP="000F7A9B">
      <w:r>
        <w:separator/>
      </w:r>
    </w:p>
  </w:endnote>
  <w:endnote w:type="continuationSeparator" w:id="0">
    <w:p w14:paraId="344043D3" w14:textId="77777777" w:rsidR="007A3B2E" w:rsidRDefault="007A3B2E" w:rsidP="000F7A9B">
      <w:r>
        <w:continuationSeparator/>
      </w:r>
    </w:p>
  </w:endnote>
  <w:endnote w:type="continuationNotice" w:id="1">
    <w:p w14:paraId="077ED7E8" w14:textId="77777777" w:rsidR="007A3B2E" w:rsidRDefault="007A3B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C8307" w14:textId="77777777" w:rsidR="007A3B2E" w:rsidRDefault="007A3B2E" w:rsidP="000F7A9B">
      <w:r>
        <w:separator/>
      </w:r>
    </w:p>
  </w:footnote>
  <w:footnote w:type="continuationSeparator" w:id="0">
    <w:p w14:paraId="4BF6E92F" w14:textId="77777777" w:rsidR="007A3B2E" w:rsidRDefault="007A3B2E" w:rsidP="000F7A9B">
      <w:r>
        <w:continuationSeparator/>
      </w:r>
    </w:p>
  </w:footnote>
  <w:footnote w:type="continuationNotice" w:id="1">
    <w:p w14:paraId="29325E0E" w14:textId="77777777" w:rsidR="007A3B2E" w:rsidRDefault="007A3B2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1288E"/>
    <w:rsid w:val="00125225"/>
    <w:rsid w:val="00132622"/>
    <w:rsid w:val="0013533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126C"/>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406D4"/>
    <w:rsid w:val="007749BF"/>
    <w:rsid w:val="007919F5"/>
    <w:rsid w:val="007A3B2E"/>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844F5"/>
    <w:rsid w:val="00EB4177"/>
    <w:rsid w:val="00EB6B27"/>
    <w:rsid w:val="00ED30FE"/>
    <w:rsid w:val="00EE1B48"/>
    <w:rsid w:val="00EE47A2"/>
    <w:rsid w:val="00EE71DB"/>
    <w:rsid w:val="00F0288F"/>
    <w:rsid w:val="00F06F16"/>
    <w:rsid w:val="00F270E1"/>
    <w:rsid w:val="00F32764"/>
    <w:rsid w:val="00F3547D"/>
    <w:rsid w:val="00F36FD1"/>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6F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7</Pages>
  <Words>1629</Words>
  <Characters>9289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11</cp:revision>
  <dcterms:created xsi:type="dcterms:W3CDTF">2025-10-31T11:57:00Z</dcterms:created>
  <dcterms:modified xsi:type="dcterms:W3CDTF">2025-12-10T23:14:00Z</dcterms:modified>
</cp:coreProperties>
</file>