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number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7B49016" w14:textId="77777777" w:rsidR="00F36FD1" w:rsidRDefault="00F36FD1" w:rsidP="00F36FD1">
      <w:pPr>
        <w:pStyle w:val="ListParagraph"/>
        <w:rPr>
          <w:rFonts w:ascii="Times New Roman" w:eastAsia="Times New Roman" w:hAnsi="Times New Roman" w:cs="Times New Roman"/>
        </w:rPr>
      </w:pPr>
    </w:p>
    <w:p w14:paraId="4556CB4C" w14:textId="622690F5"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w:t>
      </w:r>
    </w:p>
    <w:p w14:paraId="4FCB35FE" w14:textId="51EDA469" w:rsidR="7FBAA7B2" w:rsidRDefault="7FBAA7B2" w:rsidP="00F36FD1">
      <w:pPr>
        <w:pStyle w:val="ListParagraph"/>
        <w:ind w:left="2160" w:hanging="720"/>
        <w:rPr>
          <w:rFonts w:ascii="Times New Roman" w:eastAsia="Times New Roman" w:hAnsi="Times New Roman" w:cs="Times New Roman"/>
          <w:i/>
        </w:rPr>
      </w:pPr>
    </w:p>
    <w:p w14:paraId="25DD8EEB"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1 Summary (COVID-19 Superspreading Events)</w:t>
      </w:r>
    </w:p>
    <w:p w14:paraId="3FC08AE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89D052C" w14:textId="40CB2F83"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lastRenderedPageBreak/>
        <w:t>Endo et al. (2020) analysed the role of superspreading events as part of COVID-19 transmissions. Their analysis demonstrated that relatively few clusters accounted for most of all cases while most single case infections generated few subsequent cases. The diversity in the size of individual outbreaks illustrates that when individuals become infected collectively, they will experience a much greater increase in the size of their transmission events. This provides evidence supporting why we would compare the average outbreak size from cluster related cases and non-cluster related cases within our data set.</w:t>
      </w:r>
    </w:p>
    <w:p w14:paraId="1ADC599B"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12664303"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2 Summary (Cluster-based vs. sporadic infections)</w:t>
      </w:r>
    </w:p>
    <w:p w14:paraId="78258A4D"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3379F5D" w14:textId="3BA5F547"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t>Adam et al. (2020) studied over 1000 COVID-19 cases to determine if cluster-based outbreaks produce more cases than sporadic cases. They concluded that the environment and behaviours within cluster settings provided conditions leading to many cases relative to sporadic cases. This is directly related to our research question regarding whether collective events (group=TRUE) generate a larger mean number of confirmed cases than non-collective events.</w:t>
      </w:r>
    </w:p>
    <w:p w14:paraId="17E9822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743239E6"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3 Summary (Variation in cluster sizes across locations)</w:t>
      </w:r>
    </w:p>
    <w:p w14:paraId="45E42DCE"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61DEC5F4" w14:textId="7D801FE5" w:rsidR="00F36FD1" w:rsidRPr="00F36FD1" w:rsidRDefault="00F36FD1" w:rsidP="00F36FD1">
      <w:pPr>
        <w:pStyle w:val="ListParagraph"/>
        <w:ind w:left="1418" w:firstLine="22"/>
        <w:rPr>
          <w:rFonts w:ascii="Times New Roman" w:eastAsia="Times New Roman" w:hAnsi="Times New Roman" w:cs="Times New Roman"/>
          <w:iCs/>
        </w:rPr>
      </w:pPr>
      <w:r w:rsidRPr="00F36FD1">
        <w:rPr>
          <w:rFonts w:ascii="Times New Roman" w:eastAsia="Times New Roman" w:hAnsi="Times New Roman" w:cs="Times New Roman"/>
          <w:iCs/>
          <w:sz w:val="22"/>
          <w:szCs w:val="22"/>
        </w:rPr>
        <w:t>Kim et al. (2021) studied COVID-19 cluster outbreaks in South Korea and determined that there was considerable variation in cluster sizes based upon the specific location, nature of the event, and the social behaviour of those attending. Large clusters were typically attributed to groups meeting together, whereas isolated cases rarely had more than a small number of additional cases. Kim et al.'s findings illustrate the need to compare cluster sizes to each other, thereby further justifying the comparison of mean cluster sizes between collective (TRUE) and non-collective (FALSE) cases in the Case.csv dataset.</w:t>
      </w:r>
    </w:p>
    <w:p w14:paraId="26956130" w14:textId="77777777" w:rsidR="00F36FD1" w:rsidRDefault="00F36FD1" w:rsidP="00F36FD1">
      <w:pPr>
        <w:pStyle w:val="ListParagraph"/>
        <w:ind w:left="2160" w:hanging="720"/>
        <w:rPr>
          <w:rFonts w:ascii="Times New Roman" w:eastAsia="Times New Roman" w:hAnsi="Times New Roman" w:cs="Times New Roman"/>
        </w:rPr>
      </w:pPr>
    </w:p>
    <w:p w14:paraId="13395A3D" w14:textId="1CE7200F"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w:t>
      </w:r>
    </w:p>
    <w:p w14:paraId="6098E69B" w14:textId="77777777" w:rsidR="007406D4" w:rsidRDefault="007406D4" w:rsidP="007406D4">
      <w:pPr>
        <w:pStyle w:val="ListParagraph"/>
        <w:ind w:left="1440"/>
        <w:rPr>
          <w:rFonts w:ascii="Times New Roman" w:eastAsia="Times New Roman" w:hAnsi="Times New Roman" w:cs="Times New Roman"/>
        </w:rPr>
      </w:pPr>
    </w:p>
    <w:p w14:paraId="0CCFCB20"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Importance of RQ Understanding the difference between the number of cases in each type of outbreak event - cluster vs. individual – is key to evaluating the ways in which COVID-19 has transmitted through various social environments in different areas of the world. Previous research indicates that cluster-based transmission tends to disproportionately generate a high number of cases relative to other types of events. Research, however, generally compares cluster-based events to non-cluster-based events within only a few limited contexts - i.e., church gatherings; workplace transmissions; etc., rather than examining cluster and non-cluster events on a larger national scale. Thus, the primary contribution of the current study addresses the above-described research gap and examines cluster-based transmission dynamics when compared with individual-based transmission on a national scale by analysing the size of outbreaks generated through TRUE (collective) versus FALSE (isolated) infection events across many of the provinces in South Korea.</w:t>
      </w:r>
    </w:p>
    <w:p w14:paraId="1AB04F90"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78E8FEFB"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This study will be able to demonstrate if the average number of confirmed cases resulting from collective outbreak events are significantly greater than those resulting from isolated outbreak events across the same national dataset. The results of this analysis will provide further support for previous research indicating that cluster-based transmission generates significantly greater numbers of cases than individual-based transmission due to superspreading and variability in transmission rates. </w:t>
      </w:r>
    </w:p>
    <w:p w14:paraId="1D8AE1D1"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28EBBBDB" w14:textId="7405C15A"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Building upon this study, future studies could expand upon this work by including additional variables, such as population density; patterns of movement; etc.; to </w:t>
      </w:r>
      <w:r w:rsidRPr="007406D4">
        <w:rPr>
          <w:rFonts w:ascii="Times New Roman" w:eastAsia="Times New Roman" w:hAnsi="Times New Roman" w:cs="Times New Roman"/>
          <w:sz w:val="22"/>
          <w:szCs w:val="22"/>
        </w:rPr>
        <w:lastRenderedPageBreak/>
        <w:t>improve the researchers' ability to identify factors contributing to large cluster-based outbreaks. Additionally, spatial modelling of the data collected for this study could include use of latitude and longitude values to further analyse geographic transmission patterns.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4A5CB78" w14:textId="77BFAE94" w:rsidR="00F36FD1" w:rsidRPr="00F36FD1" w:rsidRDefault="5D5E0517" w:rsidP="00311D61">
      <w:pPr>
        <w:pStyle w:val="ListParagraph"/>
        <w:numPr>
          <w:ilvl w:val="1"/>
          <w:numId w:val="32"/>
        </w:numPr>
        <w:ind w:hanging="720"/>
        <w:rPr>
          <w:rFonts w:ascii="Times New Roman" w:eastAsia="Times New Roman" w:hAnsi="Times New Roman" w:cs="Times New Roman"/>
        </w:rPr>
      </w:pPr>
      <w:r w:rsidRPr="00F36FD1">
        <w:rPr>
          <w:rFonts w:ascii="Times New Roman" w:eastAsia="Times New Roman" w:hAnsi="Times New Roman" w:cs="Times New Roman"/>
        </w:rPr>
        <w:t xml:space="preserve">Appropriate </w:t>
      </w:r>
      <w:r w:rsidR="00CF2D90" w:rsidRPr="00F36FD1">
        <w:rPr>
          <w:rFonts w:ascii="Times New Roman" w:eastAsia="Times New Roman" w:hAnsi="Times New Roman" w:cs="Times New Roman"/>
        </w:rPr>
        <w:t>graphs</w:t>
      </w:r>
      <w:r w:rsidRPr="00F36FD1">
        <w:rPr>
          <w:rFonts w:ascii="Times New Roman" w:eastAsia="Times New Roman" w:hAnsi="Times New Roman" w:cs="Times New Roman"/>
        </w:rPr>
        <w:t xml:space="preserve"> for the RQ </w:t>
      </w:r>
    </w:p>
    <w:p w14:paraId="07417970" w14:textId="77777777" w:rsidR="00F36FD1" w:rsidRPr="00F36FD1" w:rsidRDefault="00F36FD1" w:rsidP="00F36FD1">
      <w:pPr>
        <w:pStyle w:val="ListParagraph"/>
        <w:ind w:left="1440"/>
        <w:rPr>
          <w:rFonts w:ascii="Times New Roman" w:eastAsia="Times New Roman" w:hAnsi="Times New Roman" w:cs="Times New Roman"/>
        </w:rPr>
      </w:pPr>
    </w:p>
    <w:p w14:paraId="16D2A7D9" w14:textId="5DDF1765" w:rsidR="00F36FD1" w:rsidRDefault="00F36FD1" w:rsidP="00F36FD1">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916491" wp14:editId="2ECBF794">
            <wp:extent cx="3785616" cy="2523604"/>
            <wp:effectExtent l="0" t="0" r="0" b="3810"/>
            <wp:docPr id="494040598" name="Picture 3" descr="A chart with green and blu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40598" name="Picture 3" descr="A chart with green and blue rectangula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6384" cy="2544115"/>
                    </a:xfrm>
                    <a:prstGeom prst="rect">
                      <a:avLst/>
                    </a:prstGeom>
                  </pic:spPr>
                </pic:pic>
              </a:graphicData>
            </a:graphic>
          </wp:inline>
        </w:drawing>
      </w:r>
    </w:p>
    <w:p w14:paraId="7AA5CB45" w14:textId="00C63CD1" w:rsidR="7FBAA7B2" w:rsidRDefault="7FBAA7B2" w:rsidP="00F36FD1">
      <w:pPr>
        <w:pStyle w:val="ListParagraph"/>
        <w:ind w:left="1440"/>
        <w:rPr>
          <w:rFonts w:ascii="Times New Roman" w:eastAsia="Times New Roman" w:hAnsi="Times New Roman" w:cs="Times New Roman"/>
          <w:i/>
          <w:iCs/>
        </w:rPr>
      </w:pPr>
    </w:p>
    <w:p w14:paraId="166490F0" w14:textId="060B5A16" w:rsidR="00F36FD1" w:rsidRPr="00F36FD1" w:rsidRDefault="00F36FD1" w:rsidP="00F36FD1">
      <w:pPr>
        <w:pStyle w:val="ListParagraph"/>
        <w:ind w:left="1440"/>
        <w:rPr>
          <w:rFonts w:ascii="Times New Roman" w:eastAsia="Times New Roman" w:hAnsi="Times New Roman" w:cs="Times New Roman"/>
          <w:sz w:val="22"/>
          <w:szCs w:val="22"/>
        </w:rPr>
      </w:pPr>
      <w:r w:rsidRPr="00F36FD1">
        <w:rPr>
          <w:rFonts w:ascii="Times New Roman" w:eastAsia="Times New Roman" w:hAnsi="Times New Roman" w:cs="Times New Roman"/>
          <w:sz w:val="22"/>
          <w:szCs w:val="22"/>
        </w:rPr>
        <w:t>The log-transformed boxplot shows that collective infection events (TRUE) appear to have greater variability and a higher median compared to isolated events (FALSE). These visual patterns suggest differences in outbreak size between the groups; however, statistical testing is required to determine whether these differences are significant.</w:t>
      </w:r>
    </w:p>
    <w:p w14:paraId="702B00DB" w14:textId="77777777" w:rsidR="00F36FD1" w:rsidRDefault="00F36FD1" w:rsidP="00F36FD1">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Pr="00EB6B27" w:rsidRDefault="00F32764" w:rsidP="7FBAA7B2">
      <w:pPr>
        <w:ind w:left="1440"/>
        <w:rPr>
          <w:rFonts w:ascii="Times New Roman" w:eastAsia="Times New Roman" w:hAnsi="Times New Roman" w:cs="Times New Roman"/>
          <w:sz w:val="22"/>
          <w:szCs w:val="22"/>
        </w:rPr>
      </w:pPr>
    </w:p>
    <w:p w14:paraId="272F87D7" w14:textId="77186A47" w:rsidR="00F32764" w:rsidRPr="00EB6B27" w:rsidRDefault="00EB6B27" w:rsidP="7FBAA7B2">
      <w:pPr>
        <w:ind w:left="1440"/>
        <w:rPr>
          <w:rFonts w:ascii="Times New Roman" w:eastAsia="Times New Roman" w:hAnsi="Times New Roman" w:cs="Times New Roman"/>
          <w:sz w:val="22"/>
          <w:szCs w:val="22"/>
        </w:rPr>
      </w:pPr>
      <w:r w:rsidRPr="00EB6B27">
        <w:rPr>
          <w:rFonts w:ascii="Times New Roman" w:eastAsia="Times New Roman" w:hAnsi="Times New Roman" w:cs="Times New Roman"/>
          <w:sz w:val="22"/>
          <w:szCs w:val="22"/>
        </w:rPr>
        <w:t xml:space="preserve">Variation in outbreak size is shown by the bar plot for many of the South Korean provinces. </w:t>
      </w:r>
      <w:r w:rsidR="0011288E" w:rsidRPr="00EB6B27">
        <w:rPr>
          <w:rFonts w:ascii="Times New Roman" w:eastAsia="Times New Roman" w:hAnsi="Times New Roman" w:cs="Times New Roman"/>
          <w:sz w:val="22"/>
          <w:szCs w:val="22"/>
        </w:rPr>
        <w:t>Most of</w:t>
      </w:r>
      <w:r w:rsidRPr="00EB6B27">
        <w:rPr>
          <w:rFonts w:ascii="Times New Roman" w:eastAsia="Times New Roman" w:hAnsi="Times New Roman" w:cs="Times New Roman"/>
          <w:sz w:val="22"/>
          <w:szCs w:val="22"/>
        </w:rPr>
        <w:t xml:space="preserve"> the provinces showed a smaller average number of cases than Daegu (which had </w:t>
      </w:r>
      <w:r w:rsidR="0011288E" w:rsidRPr="00EB6B27">
        <w:rPr>
          <w:rFonts w:ascii="Times New Roman" w:eastAsia="Times New Roman" w:hAnsi="Times New Roman" w:cs="Times New Roman"/>
          <w:sz w:val="22"/>
          <w:szCs w:val="22"/>
        </w:rPr>
        <w:t>many</w:t>
      </w:r>
      <w:r w:rsidRPr="00EB6B27">
        <w:rPr>
          <w:rFonts w:ascii="Times New Roman" w:eastAsia="Times New Roman" w:hAnsi="Times New Roman" w:cs="Times New Roman"/>
          <w:sz w:val="22"/>
          <w:szCs w:val="22"/>
        </w:rPr>
        <w:t xml:space="preserve"> cases due to superspreader events). The variations suggest that different regions have influenced the rate of transmission; and provide additional evidence for further statistical comparisons of how the outbreak has differed in each location.</w:t>
      </w:r>
    </w:p>
    <w:p w14:paraId="2786EF3C" w14:textId="77777777" w:rsidR="00EB6B27" w:rsidRDefault="00EB6B27" w:rsidP="7FBAA7B2">
      <w:pPr>
        <w:ind w:left="1440"/>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C211E17" w14:textId="77777777" w:rsidR="00E72278" w:rsidRDefault="00E72278" w:rsidP="00E72278">
      <w:pPr>
        <w:pStyle w:val="ListParagraph"/>
        <w:rPr>
          <w:rFonts w:ascii="Times New Roman" w:eastAsia="Times New Roman" w:hAnsi="Times New Roman" w:cs="Times New Roman"/>
        </w:rPr>
      </w:pPr>
    </w:p>
    <w:p w14:paraId="4E9ED38C" w14:textId="1D8C4D79" w:rsidR="7FBAA7B2" w:rsidRPr="00A113AF" w:rsidRDefault="5D5E0517" w:rsidP="00A113A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75F83259" w14:textId="77777777" w:rsidR="00A113AF" w:rsidRDefault="00A113AF" w:rsidP="00A113AF">
      <w:pPr>
        <w:pStyle w:val="ListParagraph"/>
        <w:ind w:left="1440"/>
        <w:rPr>
          <w:rFonts w:ascii="Times New Roman" w:eastAsia="Times New Roman" w:hAnsi="Times New Roman" w:cs="Times New Roman"/>
          <w:b/>
          <w:bCs/>
        </w:rPr>
      </w:pPr>
    </w:p>
    <w:p w14:paraId="375364B4" w14:textId="7DF269FB" w:rsidR="00A113AF" w:rsidRPr="00A113AF" w:rsidRDefault="00A113AF" w:rsidP="00A113AF">
      <w:pPr>
        <w:pStyle w:val="ListParagraph"/>
        <w:ind w:left="1440"/>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Normality of the confirmed case counts was assessed using the Shapiro–Wilk test for each group. The TRUE group showed W = 0.11169, p &lt; 2.2e-16, and the FALSE group showed W = 0.43146, p = 1.209e-</w:t>
      </w:r>
      <w:r w:rsidR="003E230E" w:rsidRPr="00A113AF">
        <w:rPr>
          <w:rFonts w:ascii="Times New Roman" w:eastAsia="Times New Roman" w:hAnsi="Times New Roman" w:cs="Times New Roman"/>
          <w:sz w:val="22"/>
          <w:szCs w:val="22"/>
        </w:rPr>
        <w:t>12.</w:t>
      </w:r>
      <w:r w:rsidRPr="00A113AF">
        <w:rPr>
          <w:rFonts w:ascii="Times New Roman" w:eastAsia="Times New Roman" w:hAnsi="Times New Roman" w:cs="Times New Roman"/>
          <w:sz w:val="22"/>
          <w:szCs w:val="22"/>
        </w:rPr>
        <w:t xml:space="preserve"> Both p-values are far below the 0.05 threshold, indicating a strong violation of normality. Due to the highly skewed distribution and presence of extreme outliers, the independent-samples t-test was not suitable. Instead, the non-parametric Wilcoxon rank-sum test was used to compare confirmed case counts between the two infection groups.</w:t>
      </w:r>
    </w:p>
    <w:p w14:paraId="06EC7D32" w14:textId="77777777" w:rsidR="00A113AF" w:rsidRDefault="00A113AF" w:rsidP="00A113AF">
      <w:pPr>
        <w:pStyle w:val="ListParagraph"/>
        <w:ind w:left="1440"/>
        <w:rPr>
          <w:rFonts w:ascii="Times New Roman" w:eastAsia="Times New Roman" w:hAnsi="Times New Roman" w:cs="Times New Roman"/>
        </w:rPr>
      </w:pPr>
    </w:p>
    <w:p w14:paraId="1F38B0FC" w14:textId="4FE5DBDD" w:rsidR="000F7A9B" w:rsidRPr="00A113AF" w:rsidRDefault="6019D57F" w:rsidP="185412CB">
      <w:pPr>
        <w:pStyle w:val="ListParagraph"/>
        <w:numPr>
          <w:ilvl w:val="1"/>
          <w:numId w:val="32"/>
        </w:numPr>
        <w:ind w:hanging="720"/>
        <w:rPr>
          <w:rFonts w:ascii="Times New Roman" w:eastAsia="Times New Roman" w:hAnsi="Times New Roman" w:cs="Times New Roman"/>
          <w:i/>
          <w:iCs/>
        </w:rPr>
      </w:pPr>
      <w:r w:rsidRPr="00A113AF">
        <w:rPr>
          <w:rFonts w:ascii="Times New Roman" w:eastAsia="Times New Roman" w:hAnsi="Times New Roman" w:cs="Times New Roman"/>
        </w:rPr>
        <w:t>The null hypothesis is rejected /not rejected based on the p-value</w:t>
      </w:r>
      <w:r w:rsidR="01BE979F" w:rsidRPr="00A113AF">
        <w:rPr>
          <w:rFonts w:ascii="Times New Roman" w:eastAsia="Times New Roman" w:hAnsi="Times New Roman" w:cs="Times New Roman"/>
        </w:rPr>
        <w:t xml:space="preserve"> </w:t>
      </w:r>
    </w:p>
    <w:p w14:paraId="63D59E8D" w14:textId="77777777" w:rsidR="00A113AF" w:rsidRDefault="00A113AF" w:rsidP="00A113AF">
      <w:pPr>
        <w:pStyle w:val="ListParagraph"/>
        <w:ind w:left="1440"/>
        <w:rPr>
          <w:rFonts w:ascii="Times New Roman" w:eastAsia="Times New Roman" w:hAnsi="Times New Roman" w:cs="Times New Roman"/>
          <w:b/>
          <w:bCs/>
        </w:rPr>
      </w:pPr>
    </w:p>
    <w:p w14:paraId="30BF8AD2" w14:textId="31544015" w:rsidR="00A113AF" w:rsidRPr="00A113AF" w:rsidRDefault="00A113AF" w:rsidP="00A113AF">
      <w:pPr>
        <w:ind w:left="1418"/>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 xml:space="preserve">The Wilcoxon rank-sum test returned W = 3585 and a p-value of 0.1068, which is greater than the 0.05 significance </w:t>
      </w:r>
      <w:r w:rsidR="003E230E" w:rsidRPr="00A113AF">
        <w:rPr>
          <w:rFonts w:ascii="Times New Roman" w:eastAsia="Times New Roman" w:hAnsi="Times New Roman" w:cs="Times New Roman"/>
          <w:sz w:val="22"/>
          <w:szCs w:val="22"/>
        </w:rPr>
        <w:t>level.</w:t>
      </w:r>
      <w:r w:rsidRPr="00A113AF">
        <w:rPr>
          <w:rFonts w:ascii="Times New Roman" w:eastAsia="Times New Roman" w:hAnsi="Times New Roman" w:cs="Times New Roman"/>
          <w:sz w:val="22"/>
          <w:szCs w:val="22"/>
        </w:rPr>
        <w:t xml:space="preserve"> Therefore, we fail to reject the null hypothesis. This result indicates that there is no statistically significant difference in confirmed case counts between collective infection events (group = TRUE) and isolated infection events (group = FALSE). Although the visualisations suggest that cluster events may appear larger, this difference is not statistically supported. The high variability in outbreak sizes, driven partly by superspreading events, likely contributes to the lack of significance.</w:t>
      </w:r>
    </w:p>
    <w:p w14:paraId="7C4A9CF8" w14:textId="77777777" w:rsidR="00A113AF" w:rsidRPr="00A113AF" w:rsidRDefault="00A113AF" w:rsidP="00A113AF">
      <w:pPr>
        <w:pStyle w:val="ListParagraph"/>
        <w:ind w:left="1440"/>
        <w:rPr>
          <w:rFonts w:ascii="Times New Roman" w:eastAsia="Times New Roman" w:hAnsi="Times New Roman" w:cs="Times New Roman"/>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22ED889" w14:textId="77777777" w:rsidR="003E230E" w:rsidRDefault="003E230E" w:rsidP="003E230E">
      <w:pPr>
        <w:pStyle w:val="ListParagraph"/>
        <w:rPr>
          <w:rFonts w:ascii="Times New Roman" w:eastAsia="Times New Roman" w:hAnsi="Times New Roman" w:cs="Times New Roman"/>
        </w:rPr>
      </w:pPr>
    </w:p>
    <w:p w14:paraId="7F59CB54" w14:textId="1E37CF5D"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3D953AB1" w14:textId="77777777" w:rsidR="003E230E" w:rsidRDefault="003E230E" w:rsidP="003E230E">
      <w:pPr>
        <w:pStyle w:val="ListParagraph"/>
        <w:ind w:left="1440"/>
        <w:rPr>
          <w:rFonts w:ascii="Times New Roman" w:eastAsia="Times New Roman" w:hAnsi="Times New Roman" w:cs="Times New Roman"/>
          <w:b/>
          <w:bCs/>
        </w:rPr>
      </w:pPr>
    </w:p>
    <w:p w14:paraId="12131D96" w14:textId="5EC1F2D4"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Team collaboration was effective because the report was divided into workable and reasonable sections for the individual members; each section was done on time as a result, the project moved forward steadily and without delay. Collaborative use of GitHub ensured that there were controls over versions and that members could see what had changed at any given point. Members communicated regularly with respect to their work, thus enabling them to address any problems they encountered regarding data cleaning, visualization and testing of statistical assumptions. A difference in means design was appropriately selected based upon the characteristics of the data and provided a basis for making meaningful interpretations from the study's findings.</w:t>
      </w:r>
    </w:p>
    <w:p w14:paraId="1C210650" w14:textId="77777777" w:rsidR="003E230E" w:rsidRDefault="003E230E" w:rsidP="003E230E">
      <w:pPr>
        <w:pStyle w:val="ListParagraph"/>
        <w:ind w:left="1440"/>
        <w:rPr>
          <w:rFonts w:ascii="Times New Roman" w:eastAsia="Times New Roman" w:hAnsi="Times New Roman" w:cs="Times New Roman"/>
        </w:rPr>
      </w:pPr>
    </w:p>
    <w:p w14:paraId="26CFA167" w14:textId="0F16B060"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4A54EF13" w14:textId="77777777" w:rsidR="003E230E" w:rsidRDefault="003E230E" w:rsidP="003E230E">
      <w:pPr>
        <w:pStyle w:val="ListParagraph"/>
        <w:ind w:left="1440"/>
        <w:rPr>
          <w:rFonts w:ascii="Times New Roman" w:eastAsia="Times New Roman" w:hAnsi="Times New Roman" w:cs="Times New Roman"/>
          <w:b/>
          <w:bCs/>
        </w:rPr>
      </w:pPr>
    </w:p>
    <w:p w14:paraId="3AB649F9" w14:textId="464016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 xml:space="preserve">An issue that arose in this project was the dealing with extreme outliers in confirmed cases and how they impacted on visualizations and subsequently, filtering out or transforming (log) data to address the outlier's effect. The early review of visualizations would likely reduce the amount of time spent revising visualizations. More time could also have been allocated to do a thorough background search of the </w:t>
      </w:r>
      <w:r w:rsidRPr="003E230E">
        <w:rPr>
          <w:rFonts w:ascii="Times New Roman" w:eastAsia="Times New Roman" w:hAnsi="Times New Roman" w:cs="Times New Roman"/>
          <w:sz w:val="22"/>
          <w:szCs w:val="22"/>
        </w:rPr>
        <w:lastRenderedPageBreak/>
        <w:t>literature to increase the depth of knowledge of the epidemiologic literature. Future projects can also benefit by having a secondary reviewer to validate the assumptions of the statistics at an earlier stage.</w:t>
      </w:r>
    </w:p>
    <w:p w14:paraId="2848C63B" w14:textId="77777777" w:rsidR="003E230E" w:rsidRDefault="003E230E" w:rsidP="003E230E">
      <w:pPr>
        <w:pStyle w:val="ListParagraph"/>
        <w:ind w:left="1440"/>
        <w:rPr>
          <w:rFonts w:ascii="Times New Roman" w:eastAsia="Times New Roman" w:hAnsi="Times New Roman" w:cs="Times New Roman"/>
        </w:rPr>
      </w:pPr>
    </w:p>
    <w:p w14:paraId="3D22C74D" w14:textId="02EB6045"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Group’s time management </w:t>
      </w:r>
    </w:p>
    <w:p w14:paraId="11178C3D" w14:textId="77777777" w:rsidR="003E230E" w:rsidRDefault="003E230E" w:rsidP="003E230E">
      <w:pPr>
        <w:pStyle w:val="ListParagraph"/>
        <w:ind w:left="1440"/>
        <w:rPr>
          <w:rFonts w:ascii="Times New Roman" w:eastAsia="Times New Roman" w:hAnsi="Times New Roman" w:cs="Times New Roman"/>
        </w:rPr>
      </w:pPr>
    </w:p>
    <w:p w14:paraId="44B1CDBB" w14:textId="7B5D12D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Most the group's time management efforts were productive; the group met all task completion deadlines, with each member contributing equally. Although there were some delays in the interpretation of non-normality results for determining what type of statistical test to apply, the group responded to these challenges very well, they assisted each other and maintained a constant level of communication. The group overall managed their time effectively and responded positively to the unexpected issues that arose during the project.</w:t>
      </w:r>
    </w:p>
    <w:p w14:paraId="740D8C68" w14:textId="77777777" w:rsidR="003E230E" w:rsidRDefault="003E230E" w:rsidP="003E230E">
      <w:pPr>
        <w:pStyle w:val="ListParagraph"/>
        <w:ind w:left="1440"/>
        <w:rPr>
          <w:rFonts w:ascii="Times New Roman" w:eastAsia="Times New Roman" w:hAnsi="Times New Roman" w:cs="Times New Roman"/>
        </w:rPr>
      </w:pPr>
    </w:p>
    <w:p w14:paraId="1AAB632C" w14:textId="10A5F9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3BFE3ED3" w14:textId="77777777" w:rsidR="003E230E" w:rsidRDefault="003E230E" w:rsidP="003E230E">
      <w:pPr>
        <w:pStyle w:val="ListParagraph"/>
        <w:ind w:left="1440"/>
        <w:rPr>
          <w:rFonts w:ascii="Times New Roman" w:eastAsia="Times New Roman" w:hAnsi="Times New Roman" w:cs="Times New Roman"/>
        </w:rPr>
      </w:pPr>
    </w:p>
    <w:p w14:paraId="65503C64" w14:textId="2BC03F9D"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The project effectively used statistical methods on an actual epidemiology dataset. Although the results of the study were not significantly different for cluster vs non-cluster infection events using statistical measures of significance, they remain valid in terms of the large variability seen in this dataset. Both visualizations and appropriate testing methodologies were chosen, and the final report was written in keeping with professional/academic writing standards. The project represents very effective analytical practices as well as very strong teamwork.</w:t>
      </w:r>
    </w:p>
    <w:p w14:paraId="25D4E9EE" w14:textId="77777777" w:rsidR="003E230E" w:rsidRPr="003B4A49" w:rsidRDefault="003E230E" w:rsidP="003E230E">
      <w:pPr>
        <w:pStyle w:val="ListParagraph"/>
        <w:ind w:left="1440"/>
        <w:rPr>
          <w:rFonts w:ascii="Times New Roman" w:eastAsia="Times New Roman" w:hAnsi="Times New Roman" w:cs="Times New Roman"/>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572A232" w:rsidR="4ABDCFE3" w:rsidRDefault="4ABDCFE3" w:rsidP="4ABDCFE3">
      <w:pPr>
        <w:pStyle w:val="ListParagraph"/>
        <w:ind w:left="1080"/>
        <w:rPr>
          <w:rFonts w:ascii="Times New Roman" w:eastAsia="Times New Roman" w:hAnsi="Times New Roman" w:cs="Times New Roman"/>
          <w:i/>
          <w:iCs/>
        </w:rPr>
      </w:pPr>
    </w:p>
    <w:p w14:paraId="480D1F32"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The team members were contributing consistently to the GitHub log (Appendix B) during this project. The log demonstrates that the contributors worked together to accomplish each task with many iterations of each contribution. Three of the most important commitments made toward the progression of the project are highlighted below. They show what was accomplished at the time of commitment as well as how they impacted the final report.</w:t>
      </w:r>
    </w:p>
    <w:p w14:paraId="3A72901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0D99EA" w14:textId="7791AC4F"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1.</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[histogram created for confirmed] </w:t>
      </w:r>
    </w:p>
    <w:p w14:paraId="1CD699A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6FD04D03"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first visualization and confirmed the structure of the data set which ultimately enabled the team to determine the form of the distributions and further guided their statistical decisions in determining distribution shape.</w:t>
      </w:r>
    </w:p>
    <w:p w14:paraId="25276DA5"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4A608A9" w14:textId="3014E7E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2.</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Commit Message: [</w:t>
      </w:r>
      <w:proofErr w:type="spellStart"/>
      <w:r w:rsidRPr="003E230E">
        <w:rPr>
          <w:rFonts w:ascii="Times New Roman" w:eastAsia="Times New Roman" w:hAnsi="Times New Roman" w:cs="Times New Roman"/>
          <w:sz w:val="22"/>
          <w:szCs w:val="22"/>
        </w:rPr>
        <w:t>genarate</w:t>
      </w:r>
      <w:proofErr w:type="spellEnd"/>
      <w:r w:rsidRPr="003E230E">
        <w:rPr>
          <w:rFonts w:ascii="Times New Roman" w:eastAsia="Times New Roman" w:hAnsi="Times New Roman" w:cs="Times New Roman"/>
          <w:sz w:val="22"/>
          <w:szCs w:val="22"/>
        </w:rPr>
        <w:t xml:space="preserve"> </w:t>
      </w:r>
      <w:proofErr w:type="spellStart"/>
      <w:r w:rsidRPr="003E230E">
        <w:rPr>
          <w:rFonts w:ascii="Times New Roman" w:eastAsia="Times New Roman" w:hAnsi="Times New Roman" w:cs="Times New Roman"/>
          <w:sz w:val="22"/>
          <w:szCs w:val="22"/>
        </w:rPr>
        <w:t>barplot</w:t>
      </w:r>
      <w:proofErr w:type="spellEnd"/>
      <w:r w:rsidRPr="003E230E">
        <w:rPr>
          <w:rFonts w:ascii="Times New Roman" w:eastAsia="Times New Roman" w:hAnsi="Times New Roman" w:cs="Times New Roman"/>
          <w:sz w:val="22"/>
          <w:szCs w:val="22"/>
        </w:rPr>
        <w:t xml:space="preserve"> for mean </w:t>
      </w:r>
      <w:proofErr w:type="spellStart"/>
      <w:r w:rsidRPr="003E230E">
        <w:rPr>
          <w:rFonts w:ascii="Times New Roman" w:eastAsia="Times New Roman" w:hAnsi="Times New Roman" w:cs="Times New Roman"/>
          <w:sz w:val="22"/>
          <w:szCs w:val="22"/>
        </w:rPr>
        <w:t>confiremed</w:t>
      </w:r>
      <w:proofErr w:type="spellEnd"/>
      <w:r w:rsidRPr="003E230E">
        <w:rPr>
          <w:rFonts w:ascii="Times New Roman" w:eastAsia="Times New Roman" w:hAnsi="Times New Roman" w:cs="Times New Roman"/>
          <w:sz w:val="22"/>
          <w:szCs w:val="22"/>
        </w:rPr>
        <w:t xml:space="preserve"> and province] </w:t>
      </w:r>
    </w:p>
    <w:p w14:paraId="20A744AA"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4C01FE9B"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added an additional layer of visualizations to support the background research and enhanced the teams' understanding of the regional variations. Ultimately, it provided evidence to justify investigating the variability in the sizes of outbreaks, and it enhanced sections 2.2 and 3.3 of the final report.</w:t>
      </w:r>
    </w:p>
    <w:p w14:paraId="039159C7"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A2DD61F" w14:textId="6BF4C71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3</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[boxplot for </w:t>
      </w:r>
      <w:proofErr w:type="spellStart"/>
      <w:r w:rsidRPr="003E230E">
        <w:rPr>
          <w:rFonts w:ascii="Times New Roman" w:eastAsia="Times New Roman" w:hAnsi="Times New Roman" w:cs="Times New Roman"/>
          <w:sz w:val="22"/>
          <w:szCs w:val="22"/>
        </w:rPr>
        <w:t>confimred</w:t>
      </w:r>
      <w:proofErr w:type="spellEnd"/>
      <w:r w:rsidRPr="003E230E">
        <w:rPr>
          <w:rFonts w:ascii="Times New Roman" w:eastAsia="Times New Roman" w:hAnsi="Times New Roman" w:cs="Times New Roman"/>
          <w:sz w:val="22"/>
          <w:szCs w:val="22"/>
        </w:rPr>
        <w:t xml:space="preserve"> log group] </w:t>
      </w:r>
    </w:p>
    <w:p w14:paraId="4B7C5142"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5B16AA" w14:textId="7B461D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primary visualization for the research question; the team developed a log-scaled box plot that helped illustrate the differences between groups and assisted in the selection of the correct non-parametric tests utilized in section four.</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EB82F31" w14:textId="4E886E8A" w:rsidR="003E230E" w:rsidRDefault="00CD56D6" w:rsidP="003E230E">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652BC636" w14:textId="77777777" w:rsidR="003E230E" w:rsidRPr="003E230E" w:rsidRDefault="003E230E" w:rsidP="003E230E">
      <w:pPr>
        <w:pStyle w:val="ListParagraph"/>
        <w:rPr>
          <w:rFonts w:ascii="Times New Roman" w:eastAsia="Times New Roman" w:hAnsi="Times New Roman" w:cs="Times New Roman"/>
        </w:rPr>
      </w:pPr>
    </w:p>
    <w:p w14:paraId="56C8794A" w14:textId="55C8E03A"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Results explained</w:t>
      </w:r>
      <w:r w:rsidR="4234AD76" w:rsidRPr="7FBAA7B2">
        <w:rPr>
          <w:rFonts w:ascii="Times New Roman" w:eastAsia="Times New Roman" w:hAnsi="Times New Roman" w:cs="Times New Roman"/>
        </w:rPr>
        <w:t xml:space="preserve"> </w:t>
      </w:r>
    </w:p>
    <w:p w14:paraId="6CFE39A9" w14:textId="77777777" w:rsidR="00811B59" w:rsidRDefault="00811B59" w:rsidP="00811B59">
      <w:pPr>
        <w:pStyle w:val="ListParagraph"/>
        <w:ind w:left="1440"/>
        <w:rPr>
          <w:rFonts w:ascii="Times New Roman" w:eastAsia="Times New Roman" w:hAnsi="Times New Roman" w:cs="Times New Roman"/>
        </w:rPr>
      </w:pPr>
    </w:p>
    <w:p w14:paraId="68F73D2D" w14:textId="607B31AF" w:rsidR="00811B59" w:rsidRPr="00650A64" w:rsidRDefault="00811B59" w:rsidP="00811B59">
      <w:pPr>
        <w:pStyle w:val="ListParagraph"/>
        <w:ind w:left="1440"/>
        <w:rPr>
          <w:rFonts w:ascii="Times New Roman" w:eastAsia="Times New Roman" w:hAnsi="Times New Roman" w:cs="Times New Roman"/>
          <w:sz w:val="22"/>
          <w:szCs w:val="22"/>
        </w:rPr>
      </w:pPr>
      <w:r w:rsidRPr="00650A64">
        <w:rPr>
          <w:rFonts w:ascii="Times New Roman" w:eastAsia="Times New Roman" w:hAnsi="Times New Roman" w:cs="Times New Roman"/>
          <w:sz w:val="22"/>
          <w:szCs w:val="22"/>
        </w:rPr>
        <w:t>The results of the Wilcoxon rank-sum test indicated no statistically significant difference in confirmed case counts between collective infection events (group = TRUE) and isolated infection events (group = FALSE). Although visualisations suggested that cluster infections tended to be larger, statistical evidence did not support rejecting the null hypothesis at the 5% significance level.</w:t>
      </w:r>
    </w:p>
    <w:p w14:paraId="6E042186" w14:textId="77777777" w:rsidR="00811B59" w:rsidRDefault="00811B59" w:rsidP="00811B59">
      <w:pPr>
        <w:pStyle w:val="ListParagraph"/>
        <w:ind w:left="1440"/>
        <w:rPr>
          <w:rFonts w:ascii="Times New Roman" w:eastAsia="Times New Roman" w:hAnsi="Times New Roman" w:cs="Times New Roman"/>
        </w:rPr>
      </w:pPr>
    </w:p>
    <w:p w14:paraId="71C3A2A6" w14:textId="40A1F7F9" w:rsidR="00811B59" w:rsidRPr="00811B59" w:rsidRDefault="5D5E0517" w:rsidP="00811B5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0FADA237" w14:textId="20B2D20B" w:rsidR="5D5E0517" w:rsidRDefault="5D5E0517" w:rsidP="00811B59">
      <w:pPr>
        <w:pStyle w:val="ListParagraph"/>
        <w:ind w:left="1440"/>
        <w:rPr>
          <w:rFonts w:ascii="Times New Roman" w:eastAsia="Times New Roman" w:hAnsi="Times New Roman" w:cs="Times New Roman"/>
        </w:rPr>
      </w:pPr>
    </w:p>
    <w:p w14:paraId="14AADFFE" w14:textId="1CC8ED90" w:rsidR="00811B59" w:rsidRPr="00811B59" w:rsidRDefault="00811B59" w:rsidP="00811B59">
      <w:pPr>
        <w:pStyle w:val="ListParagraph"/>
        <w:ind w:left="1440"/>
        <w:rPr>
          <w:rFonts w:ascii="Times New Roman" w:eastAsia="Times New Roman" w:hAnsi="Times New Roman" w:cs="Times New Roman"/>
          <w:sz w:val="22"/>
          <w:szCs w:val="22"/>
        </w:rPr>
      </w:pPr>
      <w:r w:rsidRPr="00811B59">
        <w:rPr>
          <w:rFonts w:ascii="Times New Roman" w:eastAsia="Times New Roman" w:hAnsi="Times New Roman" w:cs="Times New Roman"/>
          <w:sz w:val="22"/>
          <w:szCs w:val="22"/>
        </w:rPr>
        <w:t>Although there was no statistical evidence that the two types of infections differed significantly from each other, there is variability among cluster cases (i.e., cases that occurred during an outbreak) because while some cluster cases caused very large outbreaks, many cluster cases had relatively few cases. The same can be said for individual cases that are not part of a cluster; they may result in a smaller number of new cases than expected. This pattern illustrates the unpredictability associated with COVID-19 transmission and how variables related to where people live or congregate, including the characteristics of the place, type of activity occurring at the site and/or population density, impact the potential for disease spread.</w:t>
      </w:r>
    </w:p>
    <w:p w14:paraId="709763A5" w14:textId="77777777" w:rsidR="00811B59" w:rsidRDefault="00811B59" w:rsidP="00811B59">
      <w:pPr>
        <w:pStyle w:val="ListParagraph"/>
        <w:ind w:left="1440"/>
        <w:rPr>
          <w:rFonts w:ascii="Times New Roman" w:eastAsia="Times New Roman" w:hAnsi="Times New Roman" w:cs="Times New Roman"/>
          <w:highlight w:val="yellow"/>
        </w:rPr>
      </w:pPr>
    </w:p>
    <w:p w14:paraId="483DB6DC" w14:textId="7F3020E1" w:rsidR="00811B59" w:rsidRPr="005D2B82" w:rsidRDefault="5D5E0517" w:rsidP="00091AFE">
      <w:pPr>
        <w:pStyle w:val="ListParagraph"/>
        <w:numPr>
          <w:ilvl w:val="1"/>
          <w:numId w:val="32"/>
        </w:numPr>
        <w:ind w:hanging="720"/>
        <w:rPr>
          <w:rFonts w:ascii="Times New Roman" w:eastAsia="Times New Roman" w:hAnsi="Times New Roman" w:cs="Times New Roman"/>
          <w:b/>
          <w:bCs/>
        </w:rPr>
      </w:pPr>
      <w:r w:rsidRPr="005D2B82">
        <w:rPr>
          <w:rFonts w:ascii="Times New Roman" w:eastAsia="Times New Roman" w:hAnsi="Times New Roman" w:cs="Times New Roman"/>
        </w:rPr>
        <w:t>Reasons and/or implications for future work, limitations of your stud</w:t>
      </w:r>
      <w:r w:rsidR="1CF3D3D3" w:rsidRPr="005D2B82">
        <w:rPr>
          <w:rFonts w:ascii="Times New Roman" w:eastAsia="Times New Roman" w:hAnsi="Times New Roman" w:cs="Times New Roman"/>
        </w:rPr>
        <w:t xml:space="preserve">y </w:t>
      </w:r>
    </w:p>
    <w:p w14:paraId="2B4FD1AB" w14:textId="77777777" w:rsidR="005D2B82" w:rsidRPr="005D2B82" w:rsidRDefault="005D2B82" w:rsidP="005D2B82">
      <w:pPr>
        <w:pStyle w:val="ListParagraph"/>
        <w:ind w:left="1440"/>
        <w:rPr>
          <w:rFonts w:ascii="Times New Roman" w:eastAsia="Times New Roman" w:hAnsi="Times New Roman" w:cs="Times New Roman"/>
          <w:b/>
          <w:bCs/>
        </w:rPr>
      </w:pPr>
    </w:p>
    <w:p w14:paraId="5ACEF031" w14:textId="793362C7" w:rsidR="00811B59" w:rsidRPr="00811B59" w:rsidRDefault="00811B59" w:rsidP="00811B59">
      <w:pPr>
        <w:pStyle w:val="ListParagraph"/>
        <w:ind w:left="1440"/>
        <w:rPr>
          <w:rFonts w:ascii="Times New Roman" w:eastAsia="Times New Roman" w:hAnsi="Times New Roman" w:cs="Times New Roman"/>
          <w:sz w:val="22"/>
          <w:szCs w:val="22"/>
        </w:rPr>
      </w:pPr>
      <w:r w:rsidRPr="00811B59">
        <w:rPr>
          <w:rFonts w:ascii="Times New Roman" w:eastAsia="Times New Roman" w:hAnsi="Times New Roman" w:cs="Times New Roman"/>
          <w:sz w:val="22"/>
          <w:szCs w:val="22"/>
        </w:rPr>
        <w:t xml:space="preserve">Another drawback to this data set is that there are extreme outliers in the data set, that have a very significant impact on the distribution of the data, as well as the ability to perform either visual or statistical analyses on the data. In addition, the data set does not include any contextual variables (such as density of the population, mobility of the population, or what type of containment measures were implemented) that would allow for an explanation of why some clusters are larger than others. One possible way that future studies may be able to gain a better understanding of the factors that result in large cluster outbreaks could be through incorporating additional demographic variables into their models; or by using time series progression analysis, or other spatial </w:t>
      </w:r>
      <w:proofErr w:type="spellStart"/>
      <w:r w:rsidRPr="00811B59">
        <w:rPr>
          <w:rFonts w:ascii="Times New Roman" w:eastAsia="Times New Roman" w:hAnsi="Times New Roman" w:cs="Times New Roman"/>
          <w:sz w:val="22"/>
          <w:szCs w:val="22"/>
        </w:rPr>
        <w:t>modeling</w:t>
      </w:r>
      <w:proofErr w:type="spellEnd"/>
      <w:r w:rsidRPr="00811B59">
        <w:rPr>
          <w:rFonts w:ascii="Times New Roman" w:eastAsia="Times New Roman" w:hAnsi="Times New Roman" w:cs="Times New Roman"/>
          <w:sz w:val="22"/>
          <w:szCs w:val="22"/>
        </w:rPr>
        <w:t xml:space="preserve"> techniques.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20CF7BE" w14:textId="6300B5EF" w:rsidR="185412CB" w:rsidRPr="00D716A0" w:rsidRDefault="6019D57F" w:rsidP="00632680">
      <w:pPr>
        <w:pStyle w:val="ListParagraph"/>
        <w:numPr>
          <w:ilvl w:val="0"/>
          <w:numId w:val="32"/>
        </w:numPr>
        <w:rPr>
          <w:rFonts w:ascii="Times New Roman" w:eastAsia="Times New Roman" w:hAnsi="Times New Roman" w:cs="Times New Roman"/>
        </w:rPr>
      </w:pPr>
      <w:r w:rsidRPr="00D716A0">
        <w:rPr>
          <w:rFonts w:ascii="Times New Roman" w:eastAsia="Times New Roman" w:hAnsi="Times New Roman" w:cs="Times New Roman"/>
        </w:rPr>
        <w:t>Reference list</w:t>
      </w:r>
      <w:r w:rsidR="53912B4B" w:rsidRPr="00D716A0">
        <w:rPr>
          <w:rFonts w:ascii="Times New Roman" w:eastAsia="Times New Roman" w:hAnsi="Times New Roman" w:cs="Times New Roman"/>
        </w:rPr>
        <w:t xml:space="preserve"> </w:t>
      </w:r>
    </w:p>
    <w:p w14:paraId="21EEE24F" w14:textId="77777777" w:rsidR="00D716A0" w:rsidRPr="00D716A0" w:rsidRDefault="00D716A0" w:rsidP="00D716A0">
      <w:pPr>
        <w:pStyle w:val="ListParagraph"/>
        <w:rPr>
          <w:rFonts w:ascii="Times New Roman" w:eastAsia="Times New Roman" w:hAnsi="Times New Roman" w:cs="Times New Roman"/>
        </w:rPr>
      </w:pPr>
    </w:p>
    <w:p w14:paraId="6C7D4EFE" w14:textId="77777777"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 xml:space="preserve">Adam, D.C., Wu, P., Wong, J.Y., Lau, E.H.Y., Tsang, T.K., </w:t>
      </w:r>
      <w:proofErr w:type="spellStart"/>
      <w:r w:rsidRPr="00D25D2F">
        <w:rPr>
          <w:rFonts w:ascii="Times New Roman" w:eastAsia="Times New Roman" w:hAnsi="Times New Roman" w:cs="Times New Roman"/>
          <w:i/>
          <w:iCs/>
          <w:sz w:val="22"/>
          <w:szCs w:val="22"/>
        </w:rPr>
        <w:t>Cauchemez</w:t>
      </w:r>
      <w:proofErr w:type="spellEnd"/>
      <w:r w:rsidRPr="00D25D2F">
        <w:rPr>
          <w:rFonts w:ascii="Times New Roman" w:eastAsia="Times New Roman" w:hAnsi="Times New Roman" w:cs="Times New Roman"/>
          <w:i/>
          <w:iCs/>
          <w:sz w:val="22"/>
          <w:szCs w:val="22"/>
        </w:rPr>
        <w:t>, S., Leung, G.M. and Cowling, B.J., 2020. Clustering and superspreading potential of SARS-CoV-2 infections in Hong Kong. Nature Medicine, 26(11), pp.1714–1719.</w:t>
      </w:r>
    </w:p>
    <w:p w14:paraId="1E4C4968" w14:textId="77777777" w:rsidR="00D25D2F" w:rsidRPr="00D25D2F" w:rsidRDefault="00D25D2F" w:rsidP="00D25D2F">
      <w:pPr>
        <w:rPr>
          <w:rFonts w:ascii="Times New Roman" w:eastAsia="Times New Roman" w:hAnsi="Times New Roman" w:cs="Times New Roman"/>
          <w:i/>
          <w:iCs/>
          <w:sz w:val="22"/>
          <w:szCs w:val="22"/>
        </w:rPr>
      </w:pPr>
    </w:p>
    <w:p w14:paraId="5673DCFE" w14:textId="77777777"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 xml:space="preserve">Endo, A., Centre for the Mathematical Modelling of Infectious Diseases COVID-19 Working Group, Abbott, S., Kucharski, A.J. and Funk, S., 2020. Estimating the overdispersion in COVID-19 transmission using outbreak sizes outside China. </w:t>
      </w:r>
      <w:proofErr w:type="spellStart"/>
      <w:r w:rsidRPr="00D25D2F">
        <w:rPr>
          <w:rFonts w:ascii="Times New Roman" w:eastAsia="Times New Roman" w:hAnsi="Times New Roman" w:cs="Times New Roman"/>
          <w:i/>
          <w:iCs/>
          <w:sz w:val="22"/>
          <w:szCs w:val="22"/>
        </w:rPr>
        <w:t>Wellcome</w:t>
      </w:r>
      <w:proofErr w:type="spellEnd"/>
      <w:r w:rsidRPr="00D25D2F">
        <w:rPr>
          <w:rFonts w:ascii="Times New Roman" w:eastAsia="Times New Roman" w:hAnsi="Times New Roman" w:cs="Times New Roman"/>
          <w:i/>
          <w:iCs/>
          <w:sz w:val="22"/>
          <w:szCs w:val="22"/>
        </w:rPr>
        <w:t xml:space="preserve"> Open Research, 5, p.67.</w:t>
      </w:r>
    </w:p>
    <w:p w14:paraId="35F1D284" w14:textId="77777777" w:rsidR="00D25D2F" w:rsidRPr="00D25D2F" w:rsidRDefault="00D25D2F" w:rsidP="00D25D2F">
      <w:pPr>
        <w:pStyle w:val="ListParagraph"/>
        <w:rPr>
          <w:rFonts w:ascii="Times New Roman" w:eastAsia="Times New Roman" w:hAnsi="Times New Roman" w:cs="Times New Roman"/>
          <w:i/>
          <w:iCs/>
          <w:sz w:val="22"/>
          <w:szCs w:val="22"/>
        </w:rPr>
      </w:pPr>
    </w:p>
    <w:p w14:paraId="233612D6" w14:textId="12941845"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Kim, J., Choe, Y.J., Lee, J., Park, Y.J., Park, O., Park, Y.K. and Oh, M.D., 2021. Community outbreak clusters of COVID-19 in South Korea: A nationwide epidemiological study. Journal of Infectious Diseases, 223(6), pp.955–964.</w:t>
      </w:r>
    </w:p>
    <w:p w14:paraId="0A5883A6" w14:textId="77777777" w:rsidR="00811B59" w:rsidRDefault="00811B59"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lastRenderedPageBreak/>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66089" w14:textId="77777777" w:rsidR="00F50B11" w:rsidRDefault="00F50B11" w:rsidP="000F7A9B">
      <w:r>
        <w:separator/>
      </w:r>
    </w:p>
  </w:endnote>
  <w:endnote w:type="continuationSeparator" w:id="0">
    <w:p w14:paraId="0004D689" w14:textId="77777777" w:rsidR="00F50B11" w:rsidRDefault="00F50B11" w:rsidP="000F7A9B">
      <w:r>
        <w:continuationSeparator/>
      </w:r>
    </w:p>
  </w:endnote>
  <w:endnote w:type="continuationNotice" w:id="1">
    <w:p w14:paraId="220B7636" w14:textId="77777777" w:rsidR="00F50B11" w:rsidRDefault="00F50B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5602F" w14:textId="77777777" w:rsidR="00F50B11" w:rsidRDefault="00F50B11" w:rsidP="000F7A9B">
      <w:r>
        <w:separator/>
      </w:r>
    </w:p>
  </w:footnote>
  <w:footnote w:type="continuationSeparator" w:id="0">
    <w:p w14:paraId="2C8EADE7" w14:textId="77777777" w:rsidR="00F50B11" w:rsidRDefault="00F50B11" w:rsidP="000F7A9B">
      <w:r>
        <w:continuationSeparator/>
      </w:r>
    </w:p>
  </w:footnote>
  <w:footnote w:type="continuationNotice" w:id="1">
    <w:p w14:paraId="6AFF1D96" w14:textId="77777777" w:rsidR="00F50B11" w:rsidRDefault="00F50B1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1AE74EF"/>
    <w:multiLevelType w:val="hybridMultilevel"/>
    <w:tmpl w:val="770442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49608F"/>
    <w:multiLevelType w:val="hybridMultilevel"/>
    <w:tmpl w:val="518E41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8"/>
  </w:num>
  <w:num w:numId="4" w16cid:durableId="2006858979">
    <w:abstractNumId w:val="30"/>
  </w:num>
  <w:num w:numId="5" w16cid:durableId="1839346339">
    <w:abstractNumId w:val="18"/>
  </w:num>
  <w:num w:numId="6" w16cid:durableId="1380855808">
    <w:abstractNumId w:val="10"/>
  </w:num>
  <w:num w:numId="7" w16cid:durableId="565338146">
    <w:abstractNumId w:val="32"/>
  </w:num>
  <w:num w:numId="8" w16cid:durableId="522136554">
    <w:abstractNumId w:val="19"/>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3"/>
  </w:num>
  <w:num w:numId="25" w16cid:durableId="1303582182">
    <w:abstractNumId w:val="26"/>
  </w:num>
  <w:num w:numId="26" w16cid:durableId="2138447778">
    <w:abstractNumId w:val="2"/>
  </w:num>
  <w:num w:numId="27" w16cid:durableId="715280916">
    <w:abstractNumId w:val="12"/>
  </w:num>
  <w:num w:numId="28" w16cid:durableId="296570619">
    <w:abstractNumId w:val="27"/>
  </w:num>
  <w:num w:numId="29" w16cid:durableId="266351746">
    <w:abstractNumId w:val="34"/>
  </w:num>
  <w:num w:numId="30" w16cid:durableId="1027947511">
    <w:abstractNumId w:val="31"/>
  </w:num>
  <w:num w:numId="31" w16cid:durableId="1358778646">
    <w:abstractNumId w:val="22"/>
  </w:num>
  <w:num w:numId="32" w16cid:durableId="186406669">
    <w:abstractNumId w:val="33"/>
  </w:num>
  <w:num w:numId="33" w16cid:durableId="364215154">
    <w:abstractNumId w:val="3"/>
  </w:num>
  <w:num w:numId="34" w16cid:durableId="515653624">
    <w:abstractNumId w:val="28"/>
  </w:num>
  <w:num w:numId="35" w16cid:durableId="12722828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0B5A"/>
    <w:rsid w:val="00075040"/>
    <w:rsid w:val="000F7A9B"/>
    <w:rsid w:val="0011288E"/>
    <w:rsid w:val="00125225"/>
    <w:rsid w:val="00132622"/>
    <w:rsid w:val="0013533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126C"/>
    <w:rsid w:val="003B4A49"/>
    <w:rsid w:val="003B537D"/>
    <w:rsid w:val="003E230E"/>
    <w:rsid w:val="004052A5"/>
    <w:rsid w:val="00420379"/>
    <w:rsid w:val="004210BC"/>
    <w:rsid w:val="00442D7F"/>
    <w:rsid w:val="0047462E"/>
    <w:rsid w:val="004942F0"/>
    <w:rsid w:val="00496D7F"/>
    <w:rsid w:val="004E74FD"/>
    <w:rsid w:val="00544349"/>
    <w:rsid w:val="00563ABA"/>
    <w:rsid w:val="005C0287"/>
    <w:rsid w:val="005C56CD"/>
    <w:rsid w:val="005D2B82"/>
    <w:rsid w:val="005E431C"/>
    <w:rsid w:val="005E65FE"/>
    <w:rsid w:val="005E6DCD"/>
    <w:rsid w:val="0060489D"/>
    <w:rsid w:val="00637EB8"/>
    <w:rsid w:val="00650A64"/>
    <w:rsid w:val="006911B0"/>
    <w:rsid w:val="00695C53"/>
    <w:rsid w:val="006E14BD"/>
    <w:rsid w:val="00702B37"/>
    <w:rsid w:val="007406D4"/>
    <w:rsid w:val="007749BF"/>
    <w:rsid w:val="007919F5"/>
    <w:rsid w:val="007E5960"/>
    <w:rsid w:val="008045F2"/>
    <w:rsid w:val="00811B59"/>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113AF"/>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25D2F"/>
    <w:rsid w:val="00D40433"/>
    <w:rsid w:val="00D41136"/>
    <w:rsid w:val="00D51143"/>
    <w:rsid w:val="00D610AD"/>
    <w:rsid w:val="00D716A0"/>
    <w:rsid w:val="00D736D3"/>
    <w:rsid w:val="00D857AE"/>
    <w:rsid w:val="00D911ED"/>
    <w:rsid w:val="00DA04D4"/>
    <w:rsid w:val="00DA7833"/>
    <w:rsid w:val="00DF4FF0"/>
    <w:rsid w:val="00DF7999"/>
    <w:rsid w:val="00E04064"/>
    <w:rsid w:val="00E04520"/>
    <w:rsid w:val="00E72278"/>
    <w:rsid w:val="00E7239C"/>
    <w:rsid w:val="00E82355"/>
    <w:rsid w:val="00E844F5"/>
    <w:rsid w:val="00EB4177"/>
    <w:rsid w:val="00EB6B27"/>
    <w:rsid w:val="00ED30FE"/>
    <w:rsid w:val="00EE1B48"/>
    <w:rsid w:val="00EE47A2"/>
    <w:rsid w:val="00EE71DB"/>
    <w:rsid w:val="00F0288F"/>
    <w:rsid w:val="00F06F16"/>
    <w:rsid w:val="00F270E1"/>
    <w:rsid w:val="00F32764"/>
    <w:rsid w:val="00F3547D"/>
    <w:rsid w:val="00F36FD1"/>
    <w:rsid w:val="00F50B1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6F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9</Pages>
  <Words>2621</Words>
  <Characters>14945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19</cp:revision>
  <dcterms:created xsi:type="dcterms:W3CDTF">2025-10-31T11:57:00Z</dcterms:created>
  <dcterms:modified xsi:type="dcterms:W3CDTF">2025-12-11T00:38:00Z</dcterms:modified>
</cp:coreProperties>
</file>