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INO-TACF-PR10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ÇYS-PR-10 ATIK YÖNETİMİ PROSEDÜRÜ</w:t>
      </w:r>
    </w:p>
    <w:p>
      <w:pPr>
        <w:pStyle w:val="Heading2"/>
      </w:pPr>
      <w:r>
        <w:t>1. AMAÇ</w:t>
      </w:r>
    </w:p>
    <w:p>
      <w:r>
        <w:t>Bu prosedürün amacı, GES sahasında oluşan tehlikeli ve tehlikesiz atıkların ISO 14001 ve Atık Yönetimi Yönetmeliği gerekliliklerine uygun olarak toplanması, geçici depolanması, taşınması ve bertaraf edilmesi süreçlerini yönetmektir.</w:t>
      </w:r>
    </w:p>
    <w:p>
      <w:pPr>
        <w:pStyle w:val="Heading2"/>
      </w:pPr>
      <w:r>
        <w:t>2. KAPSAM</w:t>
      </w:r>
    </w:p>
    <w:p>
      <w:r>
        <w:t>Bu prosedür, şantiyede oluşan tüm atıkları kapsar: ambalaj atıkları, metal atıklar, tehlikeli kimyasal atıklar, kablo makaraları, paletler, hafriyat atıkları, evsel atıklar ve geri kazanılabilir malzemeler.</w:t>
      </w:r>
    </w:p>
    <w:p>
      <w:pPr>
        <w:pStyle w:val="Heading2"/>
      </w:pPr>
      <w:r>
        <w:t>3. TANIMLAR</w:t>
      </w:r>
    </w:p>
    <w:p>
      <w:r>
        <w:t>• Tehlikeli Atık: Tehlikeli özellik gösteren EK-III sınıfı atıklar.</w:t>
      </w:r>
    </w:p>
    <w:p>
      <w:r>
        <w:t>• Geçici Depolama Alanı: Atıkların sahada maksimum 180 gün bekletildiği alan.</w:t>
      </w:r>
    </w:p>
    <w:p>
      <w:r>
        <w:t>• Atık Beyanı: Yıllık atık bildirim sistemine yapılan beyan işlemi.</w:t>
      </w:r>
    </w:p>
    <w:p>
      <w:pPr>
        <w:pStyle w:val="Heading2"/>
      </w:pPr>
      <w:r>
        <w:t>4. SORUMLULUKLAR</w:t>
      </w:r>
    </w:p>
    <w:p>
      <w:r>
        <w:t>• Çevre Mühendisi: Atık yönetimi planını uygular, kayıtları tutar.</w:t>
      </w:r>
    </w:p>
    <w:p>
      <w:r>
        <w:t>• Şantiye Şefi: Atık sahasının düzenini sağlar.</w:t>
      </w:r>
    </w:p>
    <w:p>
      <w:r>
        <w:t>• Tüm Personel: Atıkları sıfır atık renk kodlarına göre ayırmakla sorumludur.</w:t>
      </w:r>
    </w:p>
    <w:p>
      <w:pPr>
        <w:pStyle w:val="Heading2"/>
      </w:pPr>
      <w:r>
        <w:t>5. UYGULAMA ADIMLARI</w:t>
      </w:r>
    </w:p>
    <w:p>
      <w:r>
        <w:t>1. Atıklar kaynağında sıfır atık renk kodlarına göre ayrılır.</w:t>
      </w:r>
    </w:p>
    <w:p>
      <w:r>
        <w:t>2. Tehlikeli atıklar sızdırmaz kaplarda toplanır.</w:t>
      </w:r>
    </w:p>
    <w:p>
      <w:r>
        <w:t>3. Geçici atık depolama alanı FR-28 formu ile günlük kontrol edilir.</w:t>
      </w:r>
    </w:p>
    <w:p>
      <w:r>
        <w:t>4. Atık miktarları FR-03 Atık Kayıt Formu ile kayıt altına alınır.</w:t>
      </w:r>
    </w:p>
    <w:p>
      <w:r>
        <w:t>5. Atıklar lisanslı firmalara teslim edilmeden önce tartım fişleri alınır.</w:t>
      </w:r>
    </w:p>
    <w:p>
      <w:r>
        <w:t>6. Uygunsuzluk görülmesi halinde FR-10 DÖF formu hazırlanır.</w:t>
      </w:r>
    </w:p>
    <w:p>
      <w:r>
        <w:t>7. Atık beyanı yıllık olarak sistem üzerinden yapılır.</w:t>
      </w:r>
    </w:p>
    <w:p>
      <w:pPr>
        <w:pStyle w:val="Heading2"/>
      </w:pPr>
      <w:r>
        <w:t>6. TEHLİKELİ ATIK YÖNETİMİ</w:t>
      </w:r>
    </w:p>
    <w:p>
      <w:r>
        <w:t>Tehlikeli atıklar kırmızı renkli kaplarda toplanır, etiketlenir ve sızdırmaz alanlarda bekletilir. Her atık için atık kodu, tehlike işareti ve depolama tarihi belirtilir.</w:t>
      </w:r>
    </w:p>
    <w:p>
      <w:pPr>
        <w:pStyle w:val="Heading2"/>
      </w:pPr>
      <w:r>
        <w:t>7. GERİ DÖNÜŞÜM ATIKLARI</w:t>
      </w:r>
    </w:p>
    <w:p>
      <w:r>
        <w:t>Plastik, metal, cam, kağıt ve ahşap palet/makaralar geri dönüşüm konteynerlerinde toplanır ve lisanslı geri kazanım tesislerine gönderilir.</w:t>
      </w:r>
    </w:p>
    <w:p>
      <w:pPr>
        <w:pStyle w:val="Heading2"/>
      </w:pPr>
      <w:r>
        <w:t>8. KAYIT VE RAPORLAMA</w:t>
      </w:r>
    </w:p>
    <w:p>
      <w:r>
        <w:t>Atık kayıtları aylık olarak raporlanır ve çevresel performans göstergeleri kapsamında değerlendirilir.</w:t>
      </w:r>
    </w:p>
    <w:p>
      <w:pPr>
        <w:pStyle w:val="Heading2"/>
      </w:pPr>
      <w:r>
        <w:t>9. İLGİLİ DOKÜMANLAR</w:t>
      </w:r>
    </w:p>
    <w:p>
      <w:r>
        <w:t>• FR-03 Atık Kayıt Formu</w:t>
      </w:r>
    </w:p>
    <w:p>
      <w:r>
        <w:t>• FR-28 Atık Depolama Alanı Kontrol Formu</w:t>
      </w:r>
    </w:p>
    <w:p>
      <w:r>
        <w:t>• FR-10 Uygunsuzluk/DÖF Formu</w:t>
      </w:r>
    </w:p>
    <w:p>
      <w:r>
        <w:t>• ÇYS-PR-07 Operasyonel Kontrol Prosedürü</w:t>
      </w:r>
    </w:p>
    <w:p>
      <w:r>
        <w:t>• Atık Yönetimi Yönetmeliği</w:t>
      </w:r>
    </w:p>
    <w:p>
      <w:r>
        <w:t>• Sıfır Atık Yönetmeliği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