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INO-TACF-PL04</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PL-04 KAZI VE DOLGU YÖNETİM PLANI</w:t>
      </w:r>
    </w:p>
    <w:p>
      <w:pPr>
        <w:pStyle w:val="Heading2"/>
      </w:pPr>
      <w:r>
        <w:t>1. AMAÇ</w:t>
      </w:r>
    </w:p>
    <w:p>
      <w:r>
        <w:t>Bu plan; Karapınar 500 MW GES sahasında yürütülen kazı ve dolgu faaliyetlerinin çevresel, toplumsal ve iş güvenliği gerekliliklerine uygun olarak yönetilmesini, kayıt altına alınmasını ve Dünya Bankası ESS1 ile ulusal mevzuat çerçevesinde kontrol edilmesini amaçlar.</w:t>
      </w:r>
    </w:p>
    <w:p>
      <w:pPr>
        <w:pStyle w:val="Heading2"/>
      </w:pPr>
      <w:r>
        <w:t>2. KAPSAM</w:t>
      </w:r>
    </w:p>
    <w:p>
      <w:r>
        <w:t>Bu plan; iç yollar, kablo kanalları, inverter temelleri, çit hatları, saha düzeltmeleri ve alt yüklenicilerin gerçekleştirdiği tüm kazı–dolgu çalışmalarını kapsar.</w:t>
      </w:r>
    </w:p>
    <w:p>
      <w:pPr>
        <w:pStyle w:val="Heading2"/>
      </w:pPr>
      <w:r>
        <w:t>3. DAYANAK &amp; İLGİLİ DOKÜMANLAR</w:t>
      </w:r>
    </w:p>
    <w:p>
      <w:r>
        <w:t>İlgili Prosedürler:</w:t>
      </w:r>
    </w:p>
    <w:p>
      <w:r>
        <w:t>- ÇYS-PR18 Kazı ve Dolgu Prosedürü</w:t>
      </w:r>
    </w:p>
    <w:p>
      <w:r>
        <w:t>- ÇYS-PR07 Operasyonel Kontrol Prosedürü</w:t>
      </w:r>
    </w:p>
    <w:p>
      <w:r>
        <w:t>- ÇYS-PR16 Toprak Kirliliği Prosedürü</w:t>
      </w:r>
    </w:p>
    <w:p>
      <w:r>
        <w:t>- ÇYS-PR22 Acil Durum Prosedürü</w:t>
      </w:r>
    </w:p>
    <w:p/>
    <w:p>
      <w:r>
        <w:t>İlgili Formlar:</w:t>
      </w:r>
    </w:p>
    <w:p>
      <w:r>
        <w:t>- FR22 Kazı Dolgu Kontrol Formu</w:t>
      </w:r>
    </w:p>
    <w:p>
      <w:r>
        <w:t>- FR24 Toprak Kirliliği Olay Kayıt Formu</w:t>
      </w:r>
    </w:p>
    <w:p>
      <w:r>
        <w:t>- FR21 5S Temizlik Formu</w:t>
      </w:r>
    </w:p>
    <w:p>
      <w:r>
        <w:t>- FR10 DÖF Formu</w:t>
      </w:r>
    </w:p>
    <w:p/>
    <w:p>
      <w:r>
        <w:t>Mevzuat:</w:t>
      </w:r>
    </w:p>
    <w:p>
      <w:r>
        <w:t>- Hafriyat Toprağı, İnşaat/Yıkıntı Atıkları Yönetmeliği</w:t>
      </w:r>
    </w:p>
    <w:p>
      <w:r>
        <w:t>- İş Sağlığı ve Güvenliği Mevzuatı</w:t>
      </w:r>
    </w:p>
    <w:p>
      <w:r>
        <w:t>- Dünya Bankası ESS1 – Çevresel ve Sosyal Etkiler</w:t>
      </w:r>
    </w:p>
    <w:p>
      <w:pPr>
        <w:pStyle w:val="Heading2"/>
      </w:pPr>
      <w:r>
        <w:t>4. TANIMLAR</w:t>
      </w:r>
    </w:p>
    <w:p>
      <w:r>
        <w:t>- Kazı: Şantiye faaliyetleri kapsamında toprak veya malzeme kaldırılması</w:t>
      </w:r>
    </w:p>
    <w:p>
      <w:r>
        <w:t>- Dolgu: Kazı sonucu açılan alanların uygun malzeme ile doldurulması</w:t>
      </w:r>
    </w:p>
    <w:p>
      <w:r>
        <w:t>- Stabilizasyon: Dolgu zemininin sıkıştırılarak güçlendirilmesi</w:t>
      </w:r>
    </w:p>
    <w:p>
      <w:pPr>
        <w:pStyle w:val="Heading2"/>
      </w:pPr>
      <w:r>
        <w:t>5. KAZI VE DOLGU YÖNETİM SİSTEMİ</w:t>
      </w:r>
    </w:p>
    <w:p>
      <w:r>
        <w:t>5.1 Faaliyet Planlaması</w:t>
      </w:r>
    </w:p>
    <w:p>
      <w:r>
        <w:t>Tüm kazı-dolgu çalışmaları başlamadan önce saha mühendisi tarafından planlanır.</w:t>
      </w:r>
    </w:p>
    <w:p/>
    <w:p>
      <w:r>
        <w:t>5.2 Çevresel Etki Değerlendirmesi</w:t>
      </w:r>
    </w:p>
    <w:p>
      <w:r>
        <w:t>Toz, gürültü ve toprak kirliliği riskleri analiz edilir.</w:t>
      </w:r>
    </w:p>
    <w:p/>
    <w:p>
      <w:r>
        <w:t>5.3 Uygun Ekipman Kullanımı</w:t>
      </w:r>
    </w:p>
    <w:p>
      <w:r>
        <w:t>Kepçe, dozer, greyder gibi ekipmanların uygunluğu FR23 ve FR07 kapsamında kontrol edilir.</w:t>
      </w:r>
    </w:p>
    <w:p/>
    <w:p>
      <w:r>
        <w:t>5.4 Hafriyat Yönetimi</w:t>
      </w:r>
    </w:p>
    <w:p>
      <w:r>
        <w:t>Uygun depolama alanlarına taşınır; döküm noktaları belirlenir.</w:t>
      </w:r>
    </w:p>
    <w:p/>
    <w:p>
      <w:r>
        <w:t>5.5 Çalışma Alanı Düzenlemeleri</w:t>
      </w:r>
    </w:p>
    <w:p>
      <w:r>
        <w:t>Kazı kenarları işaretlenir; güvenlik şeritleri çekilir.</w:t>
      </w:r>
    </w:p>
    <w:p/>
    <w:p>
      <w:r>
        <w:t>5.6 Dolgu İşlemleri</w:t>
      </w:r>
    </w:p>
    <w:p>
      <w:r>
        <w:t>Malzeme tabakalı serilir ve sıkıştırma testi yapılır.</w:t>
      </w:r>
    </w:p>
    <w:p/>
    <w:p>
      <w:r>
        <w:t>5.7 Toprak Kirliliği Durumları</w:t>
      </w:r>
    </w:p>
    <w:p>
      <w:r>
        <w:t>Dökülme/sızıntı olayları FR24 ile kayıt altına alınır.</w:t>
      </w:r>
    </w:p>
    <w:p/>
    <w:p>
      <w:r>
        <w:t>5.8 Günlük ve Aylık İzleme</w:t>
      </w:r>
    </w:p>
    <w:p>
      <w:r>
        <w:t>Kontroller FR22 Kazı-Dolgu Formu ile düzenli yapılır.</w:t>
      </w:r>
    </w:p>
    <w:p>
      <w:pPr>
        <w:pStyle w:val="Heading2"/>
      </w:pPr>
      <w:r>
        <w:t>6. RİSKLER VE KONTROLLER</w:t>
      </w:r>
    </w:p>
    <w:p>
      <w:r>
        <w:t>- Şev kayması</w:t>
      </w:r>
    </w:p>
    <w:p>
      <w:r>
        <w:t>- Toprak sızıntısı</w:t>
      </w:r>
    </w:p>
    <w:p>
      <w:r>
        <w:t>- Gürültü ve toz artışı</w:t>
      </w:r>
    </w:p>
    <w:p>
      <w:r>
        <w:t>Tespit edilen uygunsuzluklar FR10 DÖF ile değerlendirilir.</w:t>
      </w:r>
    </w:p>
    <w:p>
      <w:pPr>
        <w:pStyle w:val="Heading2"/>
      </w:pPr>
      <w:r>
        <w:t>7. RAPORLAMA</w:t>
      </w:r>
    </w:p>
    <w:p>
      <w:r>
        <w:t>Haftalık saha raporlarına kazı–dolgu ilerlemesi eklenir; aylık çevresel rapora entegre edilir.</w:t>
      </w:r>
    </w:p>
    <w:p>
      <w:pPr>
        <w:pStyle w:val="Heading2"/>
      </w:pPr>
      <w:r>
        <w:t>8. PLANIN GÖZDEN GEÇİRİLMESİ</w:t>
      </w:r>
    </w:p>
    <w:p>
      <w:r>
        <w:t>Plan yılda bir kez gözden geçirilir ve gerekli durumlarda güncellenir.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