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INO-TACF-PL05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PL-05 FLORA ve FAUNA KORUMA PLANI</w:t>
      </w:r>
    </w:p>
    <w:p>
      <w:pPr>
        <w:pStyle w:val="Heading2"/>
      </w:pPr>
      <w:r>
        <w:t>1. AMAÇ</w:t>
      </w:r>
    </w:p>
    <w:p>
      <w:r>
        <w:t>Bu plan; Karapınar 500 MW GES sahasında flora ve fauna türlerinin korunması, biyolojik çeşitlilik üzerindeki etkilerin azaltılması ve Dünya Bankası ESS6 standardına uygun çevresel yönetimin sağlanması amacıyla hazırlanmıştır.</w:t>
      </w:r>
    </w:p>
    <w:p>
      <w:pPr>
        <w:pStyle w:val="Heading2"/>
      </w:pPr>
      <w:r>
        <w:t>2. KAPSAM</w:t>
      </w:r>
    </w:p>
    <w:p>
      <w:r>
        <w:t>Plan; saha içi tüm çalışma alanlarını, kablo kanalları, yol açımları, panel montaj alanları, atölyeler, depolar, geçici atık alanları ve tüm yüklenici/alt yüklenicileri kapsar.</w:t>
      </w:r>
    </w:p>
    <w:p>
      <w:pPr>
        <w:pStyle w:val="Heading2"/>
      </w:pPr>
      <w:r>
        <w:t>3. DAYANAK &amp; İLGİLİ DOKÜMANLAR</w:t>
      </w:r>
    </w:p>
    <w:p>
      <w:r>
        <w:t>İlgili Prosedürler:</w:t>
      </w:r>
    </w:p>
    <w:p>
      <w:r>
        <w:t>- ÇYS-PR19 Ekosistem Yönetimi Prosedürü</w:t>
      </w:r>
    </w:p>
    <w:p>
      <w:r>
        <w:t>- ÇYS-PR07 Operasyonel Kontrol Prosedürü</w:t>
      </w:r>
    </w:p>
    <w:p>
      <w:r>
        <w:t>- ÇYS-PR22 Acil Durum Prosedürü</w:t>
      </w:r>
    </w:p>
    <w:p/>
    <w:p>
      <w:r>
        <w:t>İlgili Formlar:</w:t>
      </w:r>
    </w:p>
    <w:p>
      <w:r>
        <w:t>- FR27 Flora–Fauna İzleme Formu</w:t>
      </w:r>
    </w:p>
    <w:p>
      <w:r>
        <w:t>- FR21 5S–Temizlik Formu</w:t>
      </w:r>
    </w:p>
    <w:p>
      <w:r>
        <w:t>- FR24 Toprak Kirliliği Olay Formu</w:t>
      </w:r>
    </w:p>
    <w:p>
      <w:r>
        <w:t>- FR10 DÖF Formu</w:t>
      </w:r>
    </w:p>
    <w:p/>
    <w:p>
      <w:r>
        <w:t>Standartlar:</w:t>
      </w:r>
    </w:p>
    <w:p>
      <w:r>
        <w:t>- Dünya Bankası ESS6 Biyoçeşitlilik Koruma</w:t>
      </w:r>
    </w:p>
    <w:p>
      <w:r>
        <w:t>- ISO 14001:2015 Madde 6.1.2 Çevresel Boyutlar</w:t>
      </w:r>
    </w:p>
    <w:p>
      <w:r>
        <w:t>- Türkiye Biyolojik Çeşitlilik Stratejisi</w:t>
      </w:r>
    </w:p>
    <w:p>
      <w:pPr>
        <w:pStyle w:val="Heading2"/>
      </w:pPr>
      <w:r>
        <w:t>4. TANIMLAR</w:t>
      </w:r>
    </w:p>
    <w:p>
      <w:r>
        <w:t>- Flora: Bölgedeki tüm bitki türleri</w:t>
      </w:r>
    </w:p>
    <w:p>
      <w:r>
        <w:t>- Fauna: Tüm hayvan türleri (sürüngen, kuş, memeli vb.)</w:t>
      </w:r>
    </w:p>
    <w:p>
      <w:r>
        <w:t>- Hassas Tür: Koruma altında olan veya kırmızı listede yer alan türler</w:t>
      </w:r>
    </w:p>
    <w:p>
      <w:pPr>
        <w:pStyle w:val="Heading2"/>
      </w:pPr>
      <w:r>
        <w:t>5. FLORA VE FAUNA KORUMA SİSTEMİ</w:t>
      </w:r>
    </w:p>
    <w:p>
      <w:r>
        <w:t>5.1 Çalışma Öncesi Ekosistem Taraması</w:t>
      </w:r>
    </w:p>
    <w:p>
      <w:r>
        <w:t>Saha ekipleri çalışma başlamadan önce FR27 ile gözlem yapar.</w:t>
      </w:r>
    </w:p>
    <w:p/>
    <w:p>
      <w:r>
        <w:t>5.2 Yaşam Alanlarının Korunması</w:t>
      </w:r>
    </w:p>
    <w:p>
      <w:r>
        <w:t>Bitki kök bölgesine zarar verilmemesi; hayvan yuvalarının korunması.</w:t>
      </w:r>
    </w:p>
    <w:p/>
    <w:p>
      <w:r>
        <w:t>5.3 Göç Yolları ve Reprodüksiyon Dönemleri</w:t>
      </w:r>
    </w:p>
    <w:p>
      <w:r>
        <w:t>Kuş göç yollarına yakın bölgelerde çalışma saatleri kısıtlanır.</w:t>
      </w:r>
    </w:p>
    <w:p/>
    <w:p>
      <w:r>
        <w:t>5.4 Saha Atık Yönetimi</w:t>
      </w:r>
    </w:p>
    <w:p>
      <w:r>
        <w:t>Atık sahası düzeni flora–fauna etkisini azaltacak şekilde yönetilir.</w:t>
      </w:r>
    </w:p>
    <w:p/>
    <w:p>
      <w:r>
        <w:t>5.5 Gürültü ve Toz Etkisi</w:t>
      </w:r>
    </w:p>
    <w:p>
      <w:r>
        <w:t>Toz baskılama ve ekipman sınırlaması uygulanır.</w:t>
      </w:r>
    </w:p>
    <w:p/>
    <w:p>
      <w:r>
        <w:t>5.6 Yabani Hayvanlarla Karşılaşma Durumu</w:t>
      </w:r>
    </w:p>
    <w:p>
      <w:r>
        <w:t>Hayvana dokunulmaz; alan güvenli şekilde boşaltılır, FR27’ye kayıt yapılır.</w:t>
      </w:r>
    </w:p>
    <w:p/>
    <w:p>
      <w:r>
        <w:t>5.7 Dökülme–Sızıntı Durumları</w:t>
      </w:r>
    </w:p>
    <w:p>
      <w:r>
        <w:t>Toprak kirlenmesi FR24 ile kaydedilir, acil temizlik uygulanır.</w:t>
      </w:r>
    </w:p>
    <w:p/>
    <w:p>
      <w:r>
        <w:t>5.8 İzleme Sıklığı</w:t>
      </w:r>
    </w:p>
    <w:p>
      <w:r>
        <w:t>Aylık periyotlarla FR27 formu doldurulur ve raporlanır.</w:t>
      </w:r>
    </w:p>
    <w:p>
      <w:pPr>
        <w:pStyle w:val="Heading2"/>
      </w:pPr>
      <w:r>
        <w:t>6. RİSKLER VE KONTROLLER</w:t>
      </w:r>
    </w:p>
    <w:p>
      <w:r>
        <w:t>- Endemik tür kaybı</w:t>
      </w:r>
    </w:p>
    <w:p>
      <w:r>
        <w:t>- Bitki kök hasarı</w:t>
      </w:r>
    </w:p>
    <w:p>
      <w:r>
        <w:t>- Yabani hayvan yaralanmaları</w:t>
      </w:r>
    </w:p>
    <w:p>
      <w:r>
        <w:t>- Göç yollarının engellenmesi</w:t>
      </w:r>
    </w:p>
    <w:p>
      <w:r>
        <w:t>Tespit edilen uygunsuzluklar FR10 ile kayıt altına alınır.</w:t>
      </w:r>
    </w:p>
    <w:p>
      <w:pPr>
        <w:pStyle w:val="Heading2"/>
      </w:pPr>
      <w:r>
        <w:t>7. RAPORLAMA</w:t>
      </w:r>
    </w:p>
    <w:p>
      <w:r>
        <w:t>Flora–fauna izleme raporları aylık olarak çevre birimi tarafından hazırlanır ve üst yönetime sunulur.</w:t>
      </w:r>
    </w:p>
    <w:p>
      <w:pPr>
        <w:pStyle w:val="Heading2"/>
      </w:pPr>
      <w:r>
        <w:t>8. PLANIN GÖZDEN GEÇİRİLMESİ</w:t>
      </w:r>
    </w:p>
    <w:p>
      <w:r>
        <w:t>Plan yılda en az bir kez güncellenir; ekosistem değişimleri değerlendirildiğinde revizyon yapılır.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