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INO-TACF-WI01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WI-01 ATIK AYRIŞTIRMA VE TOPLAMA TALİMATI</w:t>
      </w:r>
    </w:p>
    <w:p>
      <w:pPr>
        <w:pStyle w:val="Heading2"/>
      </w:pPr>
      <w:r>
        <w:t>1. AMAÇ</w:t>
      </w:r>
    </w:p>
    <w:p>
      <w:r>
        <w:t>Bu talimat; Karapınar 500 MW GES şantiyesinde oluşan atıkların Çevre, Şehircilik ve İklim Değişikliği Bakanlığı tarafından yayımlanan Atık Yönetimi Yönetmeliği ve Sıfır Atık Yönetmeliği ile ISO 14001:2015 Çevre Yönetim Sistemi ve Dünya Bankası ESS3 gerekliliklerine uygun olarak kaynağında ayrıştırılması, toplanması, geçici depolanması ve kayıt altına alınması için izlenecek adımları tanımlar.</w:t>
      </w:r>
    </w:p>
    <w:p>
      <w:pPr>
        <w:pStyle w:val="Heading2"/>
      </w:pPr>
      <w:r>
        <w:t>2. KAPSAM</w:t>
      </w:r>
    </w:p>
    <w:p>
      <w:r>
        <w:t>Bu talimat; şantiye sahası, idari ofisler, yatakhaneler, yemekhane, depolar, atölyeler, geçici atık depolama alanları ve bu alanlarda görev yapan tüm yüklenici/alt yüklenici çalışanlarını kapsar.</w:t>
      </w:r>
    </w:p>
    <w:p>
      <w:pPr>
        <w:pStyle w:val="Heading2"/>
      </w:pPr>
      <w:r>
        <w:t>3. DAYANAK ve İLGİLİ DOKÜMANLAR</w:t>
      </w:r>
    </w:p>
    <w:p>
      <w:r>
        <w:t>Mevzuat:</w:t>
      </w:r>
    </w:p>
    <w:p>
      <w:r>
        <w:t>- Atık Yönetimi Yönetmeliği (RG: 02.04.2015, 29314)</w:t>
      </w:r>
    </w:p>
    <w:p>
      <w:r>
        <w:t>- Sıfır Atık Yönetmeliği (RG: 12.07.2019, 30829)</w:t>
      </w:r>
    </w:p>
    <w:p>
      <w:r>
        <w:t>- İlgili ikincil mevzuat ve kılavuzlar</w:t>
      </w:r>
    </w:p>
    <w:p/>
    <w:p>
      <w:r>
        <w:t>Standartlar:</w:t>
      </w:r>
    </w:p>
    <w:p>
      <w:r>
        <w:t>- ISO 14001:2015 Çevre Yönetim Sistemi</w:t>
      </w:r>
    </w:p>
    <w:p>
      <w:r>
        <w:t>- Dünya Bankası ESS1 ve ESS3 (Resource Efficiency and Pollution Prevention)</w:t>
      </w:r>
    </w:p>
    <w:p/>
    <w:p>
      <w:r>
        <w:t>İlgili ÇYS Dokümanları:</w:t>
      </w:r>
    </w:p>
    <w:p>
      <w:r>
        <w:t>- ÇYS-PR10 Atık Yönetimi Prosedürü</w:t>
      </w:r>
    </w:p>
    <w:p>
      <w:r>
        <w:t>- ÇYS-PR07 Operasyonel Kontrol Prosedürü</w:t>
      </w:r>
    </w:p>
    <w:p>
      <w:r>
        <w:t>- INO-TACF-PL01 Atık Yönetim Planı</w:t>
      </w:r>
    </w:p>
    <w:p>
      <w:r>
        <w:t>- FR01 Atık Takip Formu</w:t>
      </w:r>
    </w:p>
    <w:p>
      <w:r>
        <w:t>- FR02 Atık Geçici Depolama Kontrol Formu</w:t>
      </w:r>
    </w:p>
    <w:p>
      <w:r>
        <w:t>- FR03 Ambalaj Atık Ayrıştırma Formu</w:t>
      </w:r>
    </w:p>
    <w:p>
      <w:r>
        <w:t>- FR21 Saha Temizlik ve 5S Kontrol Formu</w:t>
      </w:r>
    </w:p>
    <w:p/>
    <w:p>
      <w:pPr>
        <w:pStyle w:val="Heading2"/>
      </w:pPr>
      <w:r>
        <w:t>4. TANIMLAR</w:t>
      </w:r>
    </w:p>
    <w:p>
      <w:r>
        <w:t>- Atık: Faaliyetler sonucu ortaya çıkan ve Atık Yönetimi Yönetmeliği’ne göre bertaraf veya geri kazanım işlemlerine tabi tutulması gereken maddeleri ifade eder.</w:t>
      </w:r>
    </w:p>
    <w:p>
      <w:r>
        <w:t>- Tehlikeli Atık: Atık Yönetimi Yönetmeliği Ek-III ve Ek-IV’te belirtilen özellikleri taşıyan atıklar.</w:t>
      </w:r>
    </w:p>
    <w:p>
      <w:r>
        <w:t>- Geçici Atık Depolama Alanı: Şantiye sahasında atıkların geçici olarak depolandığı, zemin sızdırmazlığı sağlanmış ve tabelalandırılmış alan.</w:t>
      </w:r>
    </w:p>
    <w:p>
      <w:r>
        <w:t>- Sıfır Atık Renk Skalası: Bakanlık tarafından yayımlanan kılavuzlara uygun atık kutusu renk kodlaması.</w:t>
      </w:r>
    </w:p>
    <w:p>
      <w:pPr>
        <w:pStyle w:val="Heading2"/>
      </w:pPr>
      <w:r>
        <w:t>5. SORUMLULUKLAR</w:t>
      </w:r>
    </w:p>
    <w:p>
      <w:r>
        <w:t>- Çevre Mühendisi / Çevre Birimi:</w:t>
      </w:r>
    </w:p>
    <w:p>
      <w:r>
        <w:t xml:space="preserve">  • Talimatın uygulanmasını sağlamak ve kontrol etmek,</w:t>
      </w:r>
    </w:p>
    <w:p>
      <w:r>
        <w:t xml:space="preserve">  • Personel eğitimlerini planlamak ve kayıt altına almak,</w:t>
      </w:r>
    </w:p>
    <w:p>
      <w:r>
        <w:t xml:space="preserve">  • FR01, FR02, FR03 ve FR21 formlarının takibini yapmak.</w:t>
      </w:r>
    </w:p>
    <w:p/>
    <w:p>
      <w:r>
        <w:t>- Şantiye Şefi / Saha Sorumlusu:</w:t>
      </w:r>
    </w:p>
    <w:p>
      <w:r>
        <w:t xml:space="preserve">  • Saha ekiplerinin talimata uygun çalışmasını sağlamak,</w:t>
      </w:r>
    </w:p>
    <w:p>
      <w:r>
        <w:t xml:space="preserve">  • Yetersiz ekipman veya uygunsuzlukları Çevre Birimi’ne bildirmek.</w:t>
      </w:r>
    </w:p>
    <w:p/>
    <w:p>
      <w:r>
        <w:t>- Çalışanlar (Mavi ve Beyaz Yaka):</w:t>
      </w:r>
    </w:p>
    <w:p>
      <w:r>
        <w:t xml:space="preserve">  • Atıkları renk kodlarına uygun şekilde kaynağında ayrıştırmak,</w:t>
      </w:r>
    </w:p>
    <w:p>
      <w:r>
        <w:t xml:space="preserve">  • Atıkları rastgele çevreye bırakmamak, yalnızca belirlenmiş noktalara atmak.</w:t>
      </w:r>
    </w:p>
    <w:p/>
    <w:p>
      <w:r>
        <w:t>- Alt Yükleniciler:</w:t>
      </w:r>
    </w:p>
    <w:p>
      <w:r>
        <w:t xml:space="preserve">  • Kendi ekipleri için talimatın uygulanmasını sağlamak,</w:t>
      </w:r>
    </w:p>
    <w:p>
      <w:r>
        <w:t xml:space="preserve">  • Uygunsuzluk halinde DÖF sürecine dahil olmak.</w:t>
      </w:r>
    </w:p>
    <w:p>
      <w:pPr>
        <w:pStyle w:val="Heading2"/>
      </w:pPr>
      <w:r>
        <w:t>6. UYGULAMA ADIMLARI</w:t>
      </w:r>
    </w:p>
    <w:p>
      <w:r>
        <w:t>6.1 Kaynağında Ayrıştırma</w:t>
      </w:r>
    </w:p>
    <w:p>
      <w:r>
        <w:t>- Tüm çalışanlar, atıkları oluştuğu noktada belirlenmiş atık kutularına atar.</w:t>
      </w:r>
    </w:p>
    <w:p>
      <w:r>
        <w:t>- Farklı atık türleri kesinlikle aynı kaba atılmaz.</w:t>
      </w:r>
    </w:p>
    <w:p/>
    <w:p>
      <w:r>
        <w:t>6.2 Renk Kodları ve Atık Türleri</w:t>
      </w:r>
    </w:p>
    <w:p>
      <w:r>
        <w:t>- Kağıt/Karton: Mavi kutu</w:t>
      </w:r>
    </w:p>
    <w:p>
      <w:r>
        <w:t>- Plastik: Sarı kutu</w:t>
      </w:r>
    </w:p>
    <w:p>
      <w:r>
        <w:t>- Cam: Yeşil kutu</w:t>
      </w:r>
    </w:p>
    <w:p>
      <w:r>
        <w:t>- Metal: Gri kutu</w:t>
      </w:r>
    </w:p>
    <w:p>
      <w:r>
        <w:t>- Organik/Yemekhane Atıkları: Kahverengi kutu</w:t>
      </w:r>
    </w:p>
    <w:p>
      <w:r>
        <w:t>- Karışık Evsel Nitelikli Atık: Siyah kutu</w:t>
      </w:r>
    </w:p>
    <w:p>
      <w:r>
        <w:t>- Tehlikeli Atıklar (yağlı bez, solvent kutusu vb.): Kırmızı kutu</w:t>
      </w:r>
    </w:p>
    <w:p>
      <w:r>
        <w:t>- Elektrikli/Elektronik Atıklar: Turuncu kutu</w:t>
      </w:r>
    </w:p>
    <w:p>
      <w:r>
        <w:t>- Atık Pil: Mor/kırmızı işaretli özel pil kutusu</w:t>
      </w:r>
    </w:p>
    <w:p/>
    <w:p>
      <w:r>
        <w:t>6.3 Ofis, Yemekhane ve Yatakhanelerde Uygulama</w:t>
      </w:r>
    </w:p>
    <w:p>
      <w:r>
        <w:t>- Ofislerde kağıt, plastik ve evsel atıklar için ayrı kutular bulundurulur.</w:t>
      </w:r>
    </w:p>
    <w:p>
      <w:r>
        <w:t>- Yemekhanede organik atıklar ile ambalaj atıkları ayrı toplanır.</w:t>
      </w:r>
    </w:p>
    <w:p>
      <w:r>
        <w:t>- Yatakhanelerde evsel atık ve geri dönüşebilir ambalaj atıkları ayrıştırılır.</w:t>
      </w:r>
    </w:p>
    <w:p/>
    <w:p>
      <w:r>
        <w:t>6.4 Saha ve Atölyelerde Uygulama</w:t>
      </w:r>
    </w:p>
    <w:p>
      <w:r>
        <w:t>- Palet, kablo makarası, metal parçalar gibi hacimli atıklar için ayrı birikim alanları kullanılır.</w:t>
      </w:r>
    </w:p>
    <w:p>
      <w:r>
        <w:t>- Tehlikeli atıklar sızdırmaz kaplarda, etiketlenmiş şekilde toplanır ve geçici depolama alanına götürülür.</w:t>
      </w:r>
    </w:p>
    <w:p/>
    <w:p>
      <w:r>
        <w:t>6.5 Atıkların Taşınması ve Geçici Depolama</w:t>
      </w:r>
    </w:p>
    <w:p>
      <w:r>
        <w:t>- Dolan atık kutuları, ilgili personel tarafından uygun ekipmanla geçici atık deposuna taşınır.</w:t>
      </w:r>
    </w:p>
    <w:p>
      <w:r>
        <w:t>- Taşıma esnasında dökülme/savrukluk engellenir; gerekirse palet ve kapalı konteyner kullanılır.</w:t>
      </w:r>
    </w:p>
    <w:p>
      <w:r>
        <w:t>- Geçici depolama alanına getirilen atıklar türlerine göre ayrılmış gözlere yerleştirilir.</w:t>
      </w:r>
    </w:p>
    <w:p/>
    <w:p>
      <w:r>
        <w:t>6.6 Tehlikeli Atıklar İçin Ek Kurallar</w:t>
      </w:r>
    </w:p>
    <w:p>
      <w:r>
        <w:t>- Tehlikeli atıklar yalnızca yetkili personel tarafından taşınır.</w:t>
      </w:r>
    </w:p>
    <w:p>
      <w:r>
        <w:t>- KKD (eldiven, gözlük vb.) kullanımı zorunludur.</w:t>
      </w:r>
    </w:p>
    <w:p>
      <w:r>
        <w:t>- Dökülme/sızıntı durumunda PL06 ve ilgili acil durum talimatları uygulanır.</w:t>
      </w:r>
    </w:p>
    <w:p/>
    <w:p>
      <w:r>
        <w:t>6.7 Kayıtların Tutulması</w:t>
      </w:r>
    </w:p>
    <w:p>
      <w:r>
        <w:t>- Oluşan atıklar miktar ve tür bazında FR01’e kaydedilir.</w:t>
      </w:r>
    </w:p>
    <w:p>
      <w:r>
        <w:t>- Atık sahası durumu haftalık olarak FR02 ile kontrol edilir.</w:t>
      </w:r>
    </w:p>
    <w:p>
      <w:r>
        <w:t>- Ambalaj atıklarının ayrıştırılması FR03 ile kayıt altına alınır.</w:t>
      </w:r>
    </w:p>
    <w:p>
      <w:r>
        <w:t>- Genel saha düzeni ve temizlik kontrolleri FR21 ile izlenir.</w:t>
      </w:r>
    </w:p>
    <w:p/>
    <w:p>
      <w:pPr>
        <w:pStyle w:val="Heading2"/>
      </w:pPr>
      <w:r>
        <w:t>7. KONTROL ve İZLEME</w:t>
      </w:r>
    </w:p>
    <w:p>
      <w:r>
        <w:t>- Çevre Birimi, sahada en az haftalık periyotlarla kontrol yapar.</w:t>
      </w:r>
    </w:p>
    <w:p>
      <w:r>
        <w:t>- Uygunsuz atık biriktirme, karışık atma veya işaretleme eksiklikleri tespit edildiğinde DÖF süreci başlatılır.</w:t>
      </w:r>
    </w:p>
    <w:p>
      <w:r>
        <w:t>- Eğitim ihtiyaçları değerlendirilir ve PL07 Eğitim Yönetim Planı doğrultusunda eğitim planlanır.</w:t>
      </w:r>
    </w:p>
    <w:p/>
    <w:p>
      <w:pPr>
        <w:pStyle w:val="Heading2"/>
      </w:pPr>
      <w:r>
        <w:t>8. UYGUNSUZLUKLAR ve DÜZELTİCİ FAALİYETLER</w:t>
      </w:r>
    </w:p>
    <w:p>
      <w:r>
        <w:t>- Talimata aykırı uygulamalar tespit edildiğinde FR10 DÖF formu açılır.</w:t>
      </w:r>
    </w:p>
    <w:p>
      <w:r>
        <w:t>- Kök neden analizi yapılarak düzeltici/önleyici faaliyetler planlanır.</w:t>
      </w:r>
    </w:p>
    <w:p>
      <w:r>
        <w:t>- Tekrarlanan uygunsuzluklarda ilave eğitim ve/veya disiplin süreçleri uygulanabilir.</w:t>
      </w:r>
    </w:p>
    <w:p/>
    <w:p>
      <w:pPr>
        <w:pStyle w:val="Heading2"/>
      </w:pPr>
      <w:r>
        <w:t>9. REVİZYON KAYDI</w:t>
      </w:r>
    </w:p>
    <w:p>
      <w:r>
        <w:t>Bu alan, ilerleyen revizyonlarda güncellenecektir.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Revizyon No</w:t>
            </w:r>
          </w:p>
        </w:tc>
        <w:tc>
          <w:tcPr>
            <w:tcW w:type="dxa" w:w="2880"/>
          </w:tcPr>
          <w:p>
            <w:r>
              <w:t>Tarih</w:t>
            </w:r>
          </w:p>
        </w:tc>
        <w:tc>
          <w:tcPr>
            <w:tcW w:type="dxa" w:w="2880"/>
          </w:tcPr>
          <w:p>
            <w:r>
              <w:t>Açıklama</w:t>
            </w:r>
          </w:p>
        </w:tc>
      </w:tr>
      <w:tr>
        <w:tc>
          <w:tcPr>
            <w:tcW w:type="dxa" w:w="2880"/>
          </w:tcPr>
          <w:p>
            <w:r>
              <w:t>00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İlk yayın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