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Doküman Kodu:</w:t>
            </w:r>
          </w:p>
        </w:tc>
        <w:tc>
          <w:tcPr>
            <w:tcW w:type="dxa" w:w="4320"/>
          </w:tcPr>
          <w:p>
            <w:r>
              <w:t>INO-TACF-WI10</w:t>
            </w:r>
          </w:p>
        </w:tc>
      </w:tr>
      <w:tr>
        <w:tc>
          <w:tcPr>
            <w:tcW w:type="dxa" w:w="4320"/>
          </w:tcPr>
          <w:p>
            <w:r>
              <w:t>Revizyon:</w:t>
            </w:r>
          </w:p>
        </w:tc>
        <w:tc>
          <w:tcPr>
            <w:tcW w:type="dxa" w:w="4320"/>
          </w:tcPr>
          <w:p>
            <w:r>
              <w:t>00</w:t>
            </w:r>
          </w:p>
        </w:tc>
      </w:tr>
      <w:tr>
        <w:tc>
          <w:tcPr>
            <w:tcW w:type="dxa" w:w="4320"/>
          </w:tcPr>
          <w:p>
            <w:r>
              <w:t>Tarih:</w:t>
            </w:r>
          </w:p>
        </w:tc>
        <w:tc>
          <w:tcPr>
            <w:tcW w:type="dxa" w:w="4320"/>
          </w:tcPr>
          <w:p>
            <w:r>
              <w:t>2025</w:t>
            </w:r>
          </w:p>
        </w:tc>
      </w:tr>
    </w:tbl>
    <w:p>
      <w:pPr>
        <w:pStyle w:val="Heading1"/>
        <w:jc w:val="center"/>
      </w:pPr>
      <w:r>
        <w:t>WI-10 KİŞİSEL KORUYUCU DONANIM (KKD) KULLANIM TALİMATI</w:t>
      </w:r>
    </w:p>
    <w:p>
      <w:pPr>
        <w:pStyle w:val="Heading2"/>
      </w:pPr>
      <w:r>
        <w:t>1. AMAÇ</w:t>
      </w:r>
    </w:p>
    <w:p>
      <w:r>
        <w:t>Bu talimat; Karapınar 500 MW GES şantiyesinde çalışan tüm personelin iş kazalarını, çevresel maruziyetleri ve mesleki riskleri azaltmak amacıyla kişisel koruyucu donanımların İş Sağlığı ve Güvenliği Kanunu, KKD Yönetmeliği, ISO 45001, ISO 14001 ve Dünya Bankası ESS2–ESS3 gerekliliklerine uygun şekilde kullanılması, kontrol edilmesi ve kayıt altına alınması için hazırlanmasını amaçlar.</w:t>
      </w:r>
    </w:p>
    <w:p>
      <w:pPr>
        <w:pStyle w:val="Heading2"/>
      </w:pPr>
      <w:r>
        <w:t>2. KAPSAM</w:t>
      </w:r>
    </w:p>
    <w:p>
      <w:r>
        <w:t>Bu talimat; şantiye sahasında bulunan tüm çalışanlar, ziyaretçiler, danışmanlar ve yüklenici–alt yüklenici ekipleri için geçerlidir.</w:t>
      </w:r>
    </w:p>
    <w:p>
      <w:pPr>
        <w:pStyle w:val="Heading2"/>
      </w:pPr>
      <w:r>
        <w:t>3. DAYANAK ve İLGİLİ DOKÜMANLAR</w:t>
      </w:r>
    </w:p>
    <w:p>
      <w:r>
        <w:t>Mevzuat:</w:t>
      </w:r>
    </w:p>
    <w:p>
      <w:r>
        <w:t>- 6331 Sayılı İş Sağlığı ve Güvenliği Kanunu</w:t>
      </w:r>
    </w:p>
    <w:p>
      <w:r>
        <w:t>- KKD Yönetmeliği</w:t>
      </w:r>
    </w:p>
    <w:p>
      <w:r>
        <w:t>- Atık Yönetimi Yönetmeliği (kimyasal temas durumları)</w:t>
      </w:r>
    </w:p>
    <w:p/>
    <w:p>
      <w:r>
        <w:t>Standartlar:</w:t>
      </w:r>
    </w:p>
    <w:p>
      <w:r>
        <w:t>- ISO 45001 (İSG Yönetimi)</w:t>
      </w:r>
    </w:p>
    <w:p>
      <w:r>
        <w:t>- ISO 14001 (Operasyonel Kontrol)</w:t>
      </w:r>
    </w:p>
    <w:p>
      <w:r>
        <w:t>- ESS2 (Labor and Working Conditions)</w:t>
      </w:r>
    </w:p>
    <w:p>
      <w:r>
        <w:t>- ESS3 (Pollution Prevention)</w:t>
      </w:r>
    </w:p>
    <w:p/>
    <w:p>
      <w:r>
        <w:t>ÇYS Dokümanları:</w:t>
      </w:r>
    </w:p>
    <w:p>
      <w:r>
        <w:t>- PR07 Operasyonel Kontrol Prosedürü</w:t>
      </w:r>
    </w:p>
    <w:p>
      <w:r>
        <w:t>- PR09 İSG Entegrasyon Prosedürü</w:t>
      </w:r>
    </w:p>
    <w:p>
      <w:r>
        <w:t>- PR22 Acil Durum Prosedürü</w:t>
      </w:r>
    </w:p>
    <w:p>
      <w:r>
        <w:t>- PL06 Acil Durum Planı</w:t>
      </w:r>
    </w:p>
    <w:p>
      <w:r>
        <w:t>- FR27 Çevresel Olay Bildirim Formu</w:t>
      </w:r>
    </w:p>
    <w:p>
      <w:pPr>
        <w:pStyle w:val="Heading2"/>
      </w:pPr>
      <w:r>
        <w:t>4. TANIMLAR</w:t>
      </w:r>
    </w:p>
    <w:p>
      <w:r>
        <w:t>- KKD: Çalışanı risklere karşı koruyan kişisel koruyucu ekipman.</w:t>
      </w:r>
    </w:p>
    <w:p>
      <w:r>
        <w:t>- Zorunlu KKD: Sahada her zaman kullanılması gereken temel koruyucular.</w:t>
      </w:r>
    </w:p>
    <w:p>
      <w:r>
        <w:t>- Risk Bazlı KKD: Faaliyetin yapısına göre eklenmesi gereken koruyucular.</w:t>
      </w:r>
    </w:p>
    <w:p>
      <w:pPr>
        <w:pStyle w:val="Heading2"/>
      </w:pPr>
      <w:r>
        <w:t>5. SORUMLULUKLAR</w:t>
      </w:r>
    </w:p>
    <w:p>
      <w:r>
        <w:t>- Çevre ve İSG Birimi:</w:t>
      </w:r>
    </w:p>
    <w:p>
      <w:r>
        <w:t xml:space="preserve">  • KKD temin eder, dağıtır, kayıt tutar.</w:t>
      </w:r>
    </w:p>
    <w:p>
      <w:r>
        <w:t xml:space="preserve">  • Uygunsuzluk tespitinde FR27 doldurur.</w:t>
      </w:r>
    </w:p>
    <w:p/>
    <w:p>
      <w:r>
        <w:t>- Saha Şefi:</w:t>
      </w:r>
    </w:p>
    <w:p>
      <w:r>
        <w:t xml:space="preserve">  • Günlük KKD kullanımını denetler.</w:t>
      </w:r>
    </w:p>
    <w:p/>
    <w:p>
      <w:r>
        <w:t>- Çalışanlar:</w:t>
      </w:r>
    </w:p>
    <w:p>
      <w:r>
        <w:t xml:space="preserve">  • KKD’yi uygun şekilde kullanır.</w:t>
      </w:r>
    </w:p>
    <w:p>
      <w:r>
        <w:t xml:space="preserve">  • Hasarlı KKD’yi bildirir.</w:t>
      </w:r>
    </w:p>
    <w:p>
      <w:pPr>
        <w:pStyle w:val="Heading2"/>
      </w:pPr>
      <w:r>
        <w:t>6. UYGULAMA ADIMLARI</w:t>
      </w:r>
    </w:p>
    <w:p>
      <w:r>
        <w:t>6.1 Sahada Zorunlu KKD’ler</w:t>
      </w:r>
    </w:p>
    <w:p>
      <w:r>
        <w:t>- Baret</w:t>
      </w:r>
    </w:p>
    <w:p>
      <w:r>
        <w:t>- Fosforlu yelek</w:t>
      </w:r>
    </w:p>
    <w:p>
      <w:r>
        <w:t>- Çelik burunlu iş ayakkabısı</w:t>
      </w:r>
    </w:p>
    <w:p/>
    <w:p>
      <w:r>
        <w:t>6.2 Çalışmaya Göre Ek KKD’ler</w:t>
      </w:r>
    </w:p>
    <w:p>
      <w:r>
        <w:t>- Kimyasalla çalışma → Eldiven, gözlük, maske</w:t>
      </w:r>
    </w:p>
    <w:p>
      <w:r>
        <w:t>- Kazı–dolgu → Eldiven, gözlük</w:t>
      </w:r>
    </w:p>
    <w:p>
      <w:r>
        <w:t>- Gürültülü alanlar → Kulaklık veya tıkaç</w:t>
      </w:r>
    </w:p>
    <w:p>
      <w:r>
        <w:t>- Yüksekte çalışma → Emniyet kemeri</w:t>
      </w:r>
    </w:p>
    <w:p>
      <w:r>
        <w:t>- Kaynak işleri → Kaynak maskesi</w:t>
      </w:r>
    </w:p>
    <w:p/>
    <w:p>
      <w:r>
        <w:t>6.3 Uygunsuzluk İşlemleri</w:t>
      </w:r>
    </w:p>
    <w:p>
      <w:r>
        <w:t>- KKD’siz çalışma → İş durdurulur.</w:t>
      </w:r>
    </w:p>
    <w:p>
      <w:r>
        <w:t>- Tekrarı → FR27 ile kayıt tutulur.</w:t>
      </w:r>
    </w:p>
    <w:p>
      <w:pPr>
        <w:pStyle w:val="Heading2"/>
      </w:pPr>
      <w:r>
        <w:t>7. KONTROL ve İZLEME</w:t>
      </w:r>
    </w:p>
    <w:p>
      <w:r>
        <w:t>- Günlük saha kontrolü yapılır.</w:t>
      </w:r>
    </w:p>
    <w:p>
      <w:r>
        <w:t>- Aylık KKD zimmet listesi güncellenir.</w:t>
      </w:r>
    </w:p>
    <w:p>
      <w:r>
        <w:t>- PL08 doğrultusunda raporlanır.</w:t>
      </w:r>
    </w:p>
    <w:p>
      <w:pPr>
        <w:pStyle w:val="Heading2"/>
      </w:pPr>
      <w:r>
        <w:t>8. UYGUNSUZLUK ve DÖF</w:t>
      </w:r>
    </w:p>
    <w:p>
      <w:r>
        <w:t>- Eksik KKD → İş durdurulur.</w:t>
      </w:r>
    </w:p>
    <w:p>
      <w:r>
        <w:t>- Hasarlı KKD → Yenisi verilir.</w:t>
      </w:r>
    </w:p>
    <w:p>
      <w:r>
        <w:t>- Tekrar eden uygunsuzluk → FR10 DÖF açılır.</w:t>
      </w:r>
    </w:p>
    <w:p>
      <w:pPr>
        <w:pStyle w:val="Heading2"/>
      </w:pPr>
      <w:r>
        <w:t>9. REVİZYON KAYDI</w:t>
      </w:r>
    </w:p>
    <w:p>
      <w:r>
        <w:t>Bu alan ilerleyen revizyonlarda doldurulacaktır.</w:t>
      </w:r>
    </w:p>
    <w:tbl>
      <w:tblPr>
        <w:tblStyle w:val="TableGrid"/>
        <w:tblW w:type="auto" w:w="0"/>
        <w:tblLook w:firstColumn="1" w:firstRow="1" w:lastColumn="0" w:lastRow="0" w:noHBand="0" w:noVBand="1" w:val="04A0"/>
      </w:tblPr>
      <w:tblGrid>
        <w:gridCol w:w="2880"/>
        <w:gridCol w:w="2880"/>
        <w:gridCol w:w="2880"/>
      </w:tblGrid>
      <w:tr>
        <w:tc>
          <w:tcPr>
            <w:tcW w:type="dxa" w:w="2880"/>
          </w:tcPr>
          <w:p>
            <w:r>
              <w:t>Revizyon No</w:t>
            </w:r>
          </w:p>
        </w:tc>
        <w:tc>
          <w:tcPr>
            <w:tcW w:type="dxa" w:w="2880"/>
          </w:tcPr>
          <w:p>
            <w:r>
              <w:t>Tarih</w:t>
            </w:r>
          </w:p>
        </w:tc>
        <w:tc>
          <w:tcPr>
            <w:tcW w:type="dxa" w:w="2880"/>
          </w:tcPr>
          <w:p>
            <w:r>
              <w:t>Açıklama</w:t>
            </w:r>
          </w:p>
        </w:tc>
      </w:tr>
      <w:tr>
        <w:tc>
          <w:tcPr>
            <w:tcW w:type="dxa" w:w="2880"/>
          </w:tcPr>
          <w:p>
            <w:r>
              <w:t>00</w:t>
            </w:r>
          </w:p>
        </w:tc>
        <w:tc>
          <w:tcPr>
            <w:tcW w:type="dxa" w:w="2880"/>
          </w:tcPr>
          <w:p>
            <w:r>
              <w:t>2025</w:t>
            </w:r>
          </w:p>
        </w:tc>
        <w:tc>
          <w:tcPr>
            <w:tcW w:type="dxa" w:w="2880"/>
          </w:tcPr>
          <w:p>
            <w:r>
              <w:t>İlk yayın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