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Doküman Kodu:</w:t>
            </w:r>
          </w:p>
        </w:tc>
        <w:tc>
          <w:tcPr>
            <w:tcW w:type="dxa" w:w="4320"/>
          </w:tcPr>
          <w:p>
            <w:r>
              <w:t>INO-TACF-WI15</w:t>
            </w:r>
          </w:p>
        </w:tc>
      </w:tr>
      <w:tr>
        <w:tc>
          <w:tcPr>
            <w:tcW w:type="dxa" w:w="4320"/>
          </w:tcPr>
          <w:p>
            <w:r>
              <w:t>Revizyon:</w:t>
            </w:r>
          </w:p>
        </w:tc>
        <w:tc>
          <w:tcPr>
            <w:tcW w:type="dxa" w:w="4320"/>
          </w:tcPr>
          <w:p>
            <w:r>
              <w:t>00</w:t>
            </w:r>
          </w:p>
        </w:tc>
      </w:tr>
      <w:tr>
        <w:tc>
          <w:tcPr>
            <w:tcW w:type="dxa" w:w="4320"/>
          </w:tcPr>
          <w:p>
            <w:r>
              <w:t>Tarih:</w:t>
            </w:r>
          </w:p>
        </w:tc>
        <w:tc>
          <w:tcPr>
            <w:tcW w:type="dxa" w:w="4320"/>
          </w:tcPr>
          <w:p>
            <w:r>
              <w:t>2025</w:t>
            </w:r>
          </w:p>
        </w:tc>
      </w:tr>
    </w:tbl>
    <w:p>
      <w:pPr>
        <w:pStyle w:val="Heading1"/>
        <w:jc w:val="center"/>
      </w:pPr>
      <w:r>
        <w:t>WI-15 HAVA EMİSYONU VE TOZ YÖNETİM TALİMATI</w:t>
      </w:r>
    </w:p>
    <w:p>
      <w:pPr>
        <w:pStyle w:val="Heading2"/>
      </w:pPr>
      <w:r>
        <w:t>1. AMAÇ</w:t>
      </w:r>
    </w:p>
    <w:p>
      <w:r>
        <w:t>Bu talimat; Karapınar 500 MW GES kurulum sahasında ortaya çıkan toz, egzoz emisyonları ve diğer hava kirleticilerin Türkiye Çevre Mevzuatı, Hava Kalitesi Yönetmeliği, Çevre Kanunu, ISO 14001 ve Dünya Bankası ESS3 standartları doğrultusunda kontrol altına alınmasını ve çevresel etkilerin azaltılmasını sağlamak amacıyla hazırlanmıştır.</w:t>
      </w:r>
    </w:p>
    <w:p>
      <w:pPr>
        <w:pStyle w:val="Heading2"/>
      </w:pPr>
      <w:r>
        <w:t>2. KAPSAM</w:t>
      </w:r>
    </w:p>
    <w:p>
      <w:r>
        <w:t>Tüm araçlar, iş makineleri, kazı–dolgu faaliyetleri, taşıma operasyonları, depolama alanları, şantiye iç yolları ve geçici atık depolama alanlarını kapsar.</w:t>
      </w:r>
    </w:p>
    <w:p>
      <w:pPr>
        <w:pStyle w:val="Heading2"/>
      </w:pPr>
      <w:r>
        <w:t>3. DAYANAK ve İLGİLİ DOKÜMANLAR</w:t>
      </w:r>
    </w:p>
    <w:p>
      <w:r>
        <w:t>Mevzuat:</w:t>
      </w:r>
    </w:p>
    <w:p>
      <w:r>
        <w:t>- Hava Kalitesi Değerlendirme ve Yönetimi Yönetmeliği</w:t>
      </w:r>
    </w:p>
    <w:p>
      <w:r>
        <w:t>- Toz Emisyonu Kontrol Yönetmeliği</w:t>
      </w:r>
    </w:p>
    <w:p>
      <w:r>
        <w:t>- Atık Yönetimi Yönetmeliği</w:t>
      </w:r>
    </w:p>
    <w:p>
      <w:r>
        <w:t>- Çevre Kanunu</w:t>
      </w:r>
    </w:p>
    <w:p/>
    <w:p>
      <w:r>
        <w:t>Standartlar:</w:t>
      </w:r>
    </w:p>
    <w:p>
      <w:r>
        <w:t>- ISO 14001 Operasyonel Kontrol</w:t>
      </w:r>
    </w:p>
    <w:p>
      <w:r>
        <w:t>- ESS3 Pollution Prevention and Resource Efficiency</w:t>
      </w:r>
    </w:p>
    <w:p/>
    <w:p>
      <w:r>
        <w:t>ÇYS Dokümanları:</w:t>
      </w:r>
    </w:p>
    <w:p>
      <w:r>
        <w:t>- PR07 Operasyonel Kontrol Prosedürü</w:t>
      </w:r>
    </w:p>
    <w:p>
      <w:r>
        <w:t>- PR10 Atık Yönetimi Prosedürü</w:t>
      </w:r>
    </w:p>
    <w:p>
      <w:r>
        <w:t>- PR16 Toprak Kirliliği Prosedürü</w:t>
      </w:r>
    </w:p>
    <w:p>
      <w:r>
        <w:t>- PL08 Çevresel İzleme Planı</w:t>
      </w:r>
    </w:p>
    <w:p>
      <w:r>
        <w:t>- FR28 Toz ve Emisyon Kontrol Formu</w:t>
      </w:r>
    </w:p>
    <w:p>
      <w:pPr>
        <w:pStyle w:val="Heading2"/>
      </w:pPr>
      <w:r>
        <w:t>4. TANIMLAR</w:t>
      </w:r>
    </w:p>
    <w:p>
      <w:r>
        <w:t>- Toz: Kazı, dolgu, kırma, taşıma vb. faaliyetlerde oluşan partikül madde.</w:t>
      </w:r>
    </w:p>
    <w:p>
      <w:r>
        <w:t>- Emisyon: Makine ve araçlardan çıkan gazlar.</w:t>
      </w:r>
    </w:p>
    <w:p>
      <w:r>
        <w:t>- Bastırma: Toz kontrolü için yapılan sulama faaliyetleri.</w:t>
      </w:r>
    </w:p>
    <w:p>
      <w:pPr>
        <w:pStyle w:val="Heading2"/>
      </w:pPr>
      <w:r>
        <w:t>5. SORUMLULUKLAR</w:t>
      </w:r>
    </w:p>
    <w:p>
      <w:r>
        <w:t>- Çevre Mühendisi:</w:t>
      </w:r>
    </w:p>
    <w:p>
      <w:r>
        <w:t xml:space="preserve">  • Toz ve emisyon ölçümlerini takip eder.</w:t>
      </w:r>
    </w:p>
    <w:p>
      <w:r>
        <w:t xml:space="preserve">  • FR28 formlarının doldurulmasını sağlar.</w:t>
      </w:r>
    </w:p>
    <w:p>
      <w:r>
        <w:t xml:space="preserve">  • Uygunsuzluk durumunda düzeltici faaliyet başlatır.</w:t>
      </w:r>
    </w:p>
    <w:p/>
    <w:p>
      <w:r>
        <w:t>- Saha Şefi:</w:t>
      </w:r>
    </w:p>
    <w:p>
      <w:r>
        <w:t xml:space="preserve">  • Sulama ekiplerinin çalışmalarını planlar.</w:t>
      </w:r>
    </w:p>
    <w:p>
      <w:r>
        <w:t xml:space="preserve">  • Toz azaltma önlemlerinin uygulanmasını sağlar.</w:t>
      </w:r>
    </w:p>
    <w:p/>
    <w:p>
      <w:r>
        <w:t>- Operatörler:</w:t>
      </w:r>
    </w:p>
    <w:p>
      <w:r>
        <w:t xml:space="preserve">  • Aşırı toz oluşturan durumları bildirir.</w:t>
      </w:r>
    </w:p>
    <w:p>
      <w:r>
        <w:t xml:space="preserve">  • Rölanti sürelerini minimumda tutar.</w:t>
      </w:r>
    </w:p>
    <w:p>
      <w:pPr>
        <w:pStyle w:val="Heading2"/>
      </w:pPr>
      <w:r>
        <w:t>6. UYGULAMA ADIMLARI</w:t>
      </w:r>
    </w:p>
    <w:p>
      <w:r>
        <w:t>6.1 Toz Kontrolü</w:t>
      </w:r>
    </w:p>
    <w:p>
      <w:r>
        <w:t>- İç yollar düzenli sulanır.</w:t>
      </w:r>
    </w:p>
    <w:p>
      <w:r>
        <w:t>- 5 km/s hız sınırı uygulanır.</w:t>
      </w:r>
    </w:p>
    <w:p>
      <w:r>
        <w:t>- Hafriyat kamyonları branda ile kapatılır.</w:t>
      </w:r>
    </w:p>
    <w:p>
      <w:r>
        <w:t>- Kazı ve dolgu alanlarında rüzgârlı havalarda ek önlem alınır.</w:t>
      </w:r>
    </w:p>
    <w:p/>
    <w:p>
      <w:r>
        <w:t>6.2 Emisyon Yönetimi</w:t>
      </w:r>
    </w:p>
    <w:p>
      <w:r>
        <w:t>- Araç ve makineler periyodik bakıma tabi tutulur.</w:t>
      </w:r>
    </w:p>
    <w:p>
      <w:r>
        <w:t>- Egzoz gazı görünür şekilde siyah ise makine kullanımdan çekilir.</w:t>
      </w:r>
    </w:p>
    <w:p>
      <w:r>
        <w:t>- Gereksiz rölanti yapılmaz.</w:t>
      </w:r>
    </w:p>
    <w:p/>
    <w:p>
      <w:r>
        <w:t>6.3 Depolama Alanları</w:t>
      </w:r>
    </w:p>
    <w:p>
      <w:r>
        <w:t>- İnce malzemeler depolanırken üstleri kapatılır.</w:t>
      </w:r>
    </w:p>
    <w:p>
      <w:r>
        <w:t>- Atık konteynerleri rüzgâr etkisine karşı sabitlenir.</w:t>
      </w:r>
    </w:p>
    <w:p/>
    <w:p>
      <w:r>
        <w:t>6.4 İzleme</w:t>
      </w:r>
    </w:p>
    <w:p>
      <w:r>
        <w:t>- FR28 formu ile günlük saha kontrolü yapılır.</w:t>
      </w:r>
    </w:p>
    <w:p>
      <w:r>
        <w:t>- Aylık emisyon değerlendirmesi PL08 doğrultusunda raporlanır.</w:t>
      </w:r>
    </w:p>
    <w:p/>
    <w:p>
      <w:r>
        <w:t>6.5 Uyarı Levhaları</w:t>
      </w:r>
    </w:p>
    <w:p>
      <w:r>
        <w:t>- “Toz Kontrolü İçin Sulama Yapılmaktadır”</w:t>
      </w:r>
    </w:p>
    <w:p>
      <w:r>
        <w:t>- “Hız Sınırı 5 km/s” levhaları yerleştirilir.</w:t>
      </w:r>
    </w:p>
    <w:p>
      <w:pPr>
        <w:pStyle w:val="Heading2"/>
      </w:pPr>
      <w:r>
        <w:t>7. KONTROL VE İZLEME</w:t>
      </w:r>
    </w:p>
    <w:p>
      <w:r>
        <w:t>- Toz seviyeleri saha gözlemi ve meteorolojik koşullara göre kontrol edilir.</w:t>
      </w:r>
    </w:p>
    <w:p>
      <w:r>
        <w:t>- Araç emisyonları haftalık kontrol edilir.</w:t>
      </w:r>
    </w:p>
    <w:p>
      <w:r>
        <w:t>- Sulama etkinliği kayıt altına alınır.</w:t>
      </w:r>
    </w:p>
    <w:p>
      <w:pPr>
        <w:pStyle w:val="Heading2"/>
      </w:pPr>
      <w:r>
        <w:t>8. UYGUNSUZLUK VE DÖF</w:t>
      </w:r>
    </w:p>
    <w:p>
      <w:r>
        <w:t>- Aşırı toz → Ek sulama ve hız denetimi.</w:t>
      </w:r>
    </w:p>
    <w:p>
      <w:r>
        <w:t>- Emisyon artışı → Makine servise gönderilir.</w:t>
      </w:r>
    </w:p>
    <w:p>
      <w:r>
        <w:t>- Tekrarlayan durumlarda FR10 DÖF açılır.</w:t>
      </w:r>
    </w:p>
    <w:p>
      <w:pPr>
        <w:pStyle w:val="Heading2"/>
      </w:pPr>
      <w:r>
        <w:t>9. REVİZYON KAYDI</w:t>
      </w:r>
    </w:p>
    <w:p>
      <w:r>
        <w:t>Bu alan ilerleyen revizyonlarda doldurulacaktır.</w:t>
      </w:r>
    </w:p>
    <w:tbl>
      <w:tblPr>
        <w:tblStyle w:val="TableGrid"/>
        <w:tblW w:type="auto" w:w="0"/>
        <w:tblLook w:firstColumn="1" w:firstRow="1" w:lastColumn="0" w:lastRow="0" w:noHBand="0" w:noVBand="1" w:val="04A0"/>
      </w:tblPr>
      <w:tblGrid>
        <w:gridCol w:w="2880"/>
        <w:gridCol w:w="2880"/>
        <w:gridCol w:w="2880"/>
      </w:tblGrid>
      <w:tr>
        <w:tc>
          <w:tcPr>
            <w:tcW w:type="dxa" w:w="2880"/>
          </w:tcPr>
          <w:p>
            <w:r>
              <w:t>Revizyon No</w:t>
            </w:r>
          </w:p>
        </w:tc>
        <w:tc>
          <w:tcPr>
            <w:tcW w:type="dxa" w:w="2880"/>
          </w:tcPr>
          <w:p>
            <w:r>
              <w:t>Tarih</w:t>
            </w:r>
          </w:p>
        </w:tc>
        <w:tc>
          <w:tcPr>
            <w:tcW w:type="dxa" w:w="2880"/>
          </w:tcPr>
          <w:p>
            <w:r>
              <w:t>Açıklama</w:t>
            </w:r>
          </w:p>
        </w:tc>
      </w:tr>
      <w:tr>
        <w:tc>
          <w:tcPr>
            <w:tcW w:type="dxa" w:w="2880"/>
          </w:tcPr>
          <w:p>
            <w:r>
              <w:t>00</w:t>
            </w:r>
          </w:p>
        </w:tc>
        <w:tc>
          <w:tcPr>
            <w:tcW w:type="dxa" w:w="2880"/>
          </w:tcPr>
          <w:p>
            <w:r>
              <w:t>2025</w:t>
            </w:r>
          </w:p>
        </w:tc>
        <w:tc>
          <w:tcPr>
            <w:tcW w:type="dxa" w:w="2880"/>
          </w:tcPr>
          <w:p>
            <w:r>
              <w:t>İlk yayın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