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INO-TACF-WI28</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WI-28 GÜRÜLTÜ YÖNETİMİ TALİMATI</w:t>
      </w:r>
    </w:p>
    <w:p>
      <w:pPr>
        <w:pStyle w:val="Heading2"/>
      </w:pPr>
      <w:r>
        <w:t>1. AMAÇ</w:t>
      </w:r>
    </w:p>
    <w:p>
      <w:r>
        <w:t>Bu talimat; Karapınar 500 MW GES kurulum sahasında çalışma faaliyetleri sırasında oluşabilecek gürültünün kontrol altına alınması, çalışanların maruziyetinin azaltılması ve çevresel gürültü etkilerinin yönetilmesi amacıyla hazırlanmıştır. Talimat, ISO 14001, ISO 45001, ESS3 ve Çevresel Gürültünün Değerlendirilmesi ve Yönetimi Yönetmeliği gerekliliklerine uygun şekilde düzenlenmiştir.</w:t>
      </w:r>
    </w:p>
    <w:p>
      <w:pPr>
        <w:pStyle w:val="Heading2"/>
      </w:pPr>
      <w:r>
        <w:t>2. KAPSAM</w:t>
      </w:r>
    </w:p>
    <w:p>
      <w:r>
        <w:t>Kırıcı, ekskavatör, yükleyici, kamyon, jeneratör, çekiçleme işlemleri, beton kırma, delme faaliyetleri ve gürültü oluşturan tüm inşaat ekipmanları bu talimatın kapsamındadır.</w:t>
      </w:r>
    </w:p>
    <w:p>
      <w:pPr>
        <w:pStyle w:val="Heading2"/>
      </w:pPr>
      <w:r>
        <w:t>3. DAYANAK ve İLGİLİ DOKÜMANLAR</w:t>
      </w:r>
    </w:p>
    <w:p>
      <w:r>
        <w:t>Mevzuat:</w:t>
      </w:r>
    </w:p>
    <w:p>
      <w:r>
        <w:t>- Çevresel Gürültünün Değerlendirilmesi ve Yönetimi Yönetmeliği</w:t>
      </w:r>
    </w:p>
    <w:p>
      <w:r>
        <w:t>- İş Sağlığı ve Güvenliği Kanunu</w:t>
      </w:r>
    </w:p>
    <w:p>
      <w:r>
        <w:t>- Çevre Kanunu</w:t>
      </w:r>
    </w:p>
    <w:p/>
    <w:p>
      <w:r>
        <w:t>Standartlar:</w:t>
      </w:r>
    </w:p>
    <w:p>
      <w:r>
        <w:t>- ISO 14001 Operasyonel Kontrol</w:t>
      </w:r>
    </w:p>
    <w:p>
      <w:r>
        <w:t>- ISO 45001 Gürültü Maruziyet Kontrolü</w:t>
      </w:r>
    </w:p>
    <w:p>
      <w:r>
        <w:t>- ESS3 Pollution Prevention</w:t>
      </w:r>
    </w:p>
    <w:p/>
    <w:p>
      <w:r>
        <w:t>ÇYS Dokümanları:</w:t>
      </w:r>
    </w:p>
    <w:p>
      <w:r>
        <w:t>- PR07 Operasyonel Kontrol Prosedürü</w:t>
      </w:r>
    </w:p>
    <w:p>
      <w:r>
        <w:t>- PR22 Acil Durum Prosedürü</w:t>
      </w:r>
    </w:p>
    <w:p>
      <w:r>
        <w:t>- PL08 Çevresel İzleme Planı</w:t>
      </w:r>
    </w:p>
    <w:p>
      <w:r>
        <w:t>- FR23 Gürültü İzleme Formu</w:t>
      </w:r>
    </w:p>
    <w:p>
      <w:pPr>
        <w:pStyle w:val="Heading2"/>
      </w:pPr>
      <w:r>
        <w:t>4. TANIMLAR</w:t>
      </w:r>
    </w:p>
    <w:p>
      <w:r>
        <w:t>- Gürültü Seviyesi (dBA): Ses şiddetinin ölçüm birimi.</w:t>
      </w:r>
    </w:p>
    <w:p>
      <w:r>
        <w:t>- Maruziyet Limiti: Çalışanlar için yasal maksimum ses seviyesi.</w:t>
      </w:r>
    </w:p>
    <w:p>
      <w:r>
        <w:t>- Gürültü Kaynağı: Gürültüye sebep olan makine veya faaliyet.</w:t>
      </w:r>
    </w:p>
    <w:p>
      <w:pPr>
        <w:pStyle w:val="Heading2"/>
      </w:pPr>
      <w:r>
        <w:t>5. SORUMLULUKLAR</w:t>
      </w:r>
    </w:p>
    <w:p>
      <w:r>
        <w:t>- Çevre Mühendisi:</w:t>
      </w:r>
    </w:p>
    <w:p>
      <w:r>
        <w:t xml:space="preserve">  • Gürültü ölçümlerini yapar.</w:t>
      </w:r>
    </w:p>
    <w:p>
      <w:r>
        <w:t xml:space="preserve">  • FR23 Gürültü Formu’nu doldurur.</w:t>
      </w:r>
    </w:p>
    <w:p>
      <w:r>
        <w:t xml:space="preserve">  • Limit aşımında DÖF açar.</w:t>
      </w:r>
    </w:p>
    <w:p/>
    <w:p>
      <w:r>
        <w:t>- Saha Şefi:</w:t>
      </w:r>
    </w:p>
    <w:p>
      <w:r>
        <w:t xml:space="preserve">  • Gürültü oluşturan ekipmanların uygun saatlerde çalışmasını sağlar.</w:t>
      </w:r>
    </w:p>
    <w:p/>
    <w:p>
      <w:r>
        <w:t>- Operatörler:</w:t>
      </w:r>
    </w:p>
    <w:p>
      <w:r>
        <w:t xml:space="preserve">  • Gürültü azaltım talimatlarına uyar.</w:t>
      </w:r>
    </w:p>
    <w:p>
      <w:r>
        <w:t xml:space="preserve">  • Gerektiğinde makine bakımını talep eder.</w:t>
      </w:r>
    </w:p>
    <w:p>
      <w:pPr>
        <w:pStyle w:val="Heading2"/>
      </w:pPr>
      <w:r>
        <w:t>6. UYGULAMA ADIMLARI</w:t>
      </w:r>
    </w:p>
    <w:p>
      <w:r>
        <w:t>6.1 Gürültü Kaynaklarının Belirlenmesi</w:t>
      </w:r>
    </w:p>
    <w:p>
      <w:r>
        <w:t>- Kırıcı ve beton kırma makineleri</w:t>
      </w:r>
    </w:p>
    <w:p>
      <w:r>
        <w:t>- Ekskavatör, loader ve ağır makineler</w:t>
      </w:r>
    </w:p>
    <w:p>
      <w:r>
        <w:t>- Jeneratörler</w:t>
      </w:r>
    </w:p>
    <w:p>
      <w:r>
        <w:t>- Kamyon trafik yoğunluğu</w:t>
      </w:r>
    </w:p>
    <w:p/>
    <w:p>
      <w:r>
        <w:t>6.2 Gürültü Azaltım Önlemleri</w:t>
      </w:r>
    </w:p>
    <w:p>
      <w:r>
        <w:t>- Mümkün olduğunda sessiz teknoloji tercih edilir.</w:t>
      </w:r>
    </w:p>
    <w:p>
      <w:r>
        <w:t>- Gürültülü faaliyetler mesai saatleri dışında yapılmaz.</w:t>
      </w:r>
    </w:p>
    <w:p>
      <w:r>
        <w:t>- Makine bakım kontrolleri düzenli yapılır.</w:t>
      </w:r>
    </w:p>
    <w:p>
      <w:r>
        <w:t>- Titreşim azaltıcı uçlar ve susturucu ekipman kullanılır.</w:t>
      </w:r>
    </w:p>
    <w:p/>
    <w:p>
      <w:r>
        <w:t>6.3 Çevresel Gürültü Yönetimi</w:t>
      </w:r>
    </w:p>
    <w:p>
      <w:r>
        <w:t>- Halk yerleşimleri yakınlarında gürültü bariyeri uygulanır.</w:t>
      </w:r>
    </w:p>
    <w:p>
      <w:r>
        <w:t>- Trafik akışı minimum gürültü oluşturacak şekilde düzenlenir.</w:t>
      </w:r>
    </w:p>
    <w:p/>
    <w:p>
      <w:r>
        <w:t>6.4 Çalışan Gürültü Maruziyeti</w:t>
      </w:r>
    </w:p>
    <w:p>
      <w:r>
        <w:t>- 85 dBA üzeri ortamlarda kulaklık zorunludur.</w:t>
      </w:r>
    </w:p>
    <w:p>
      <w:r>
        <w:t>- 95 dBA üzeri ortamlarda çalışma süresi sınırlandırılır.</w:t>
      </w:r>
    </w:p>
    <w:p>
      <w:r>
        <w:t>- Kapalı kabinli makineler tercih edilir.</w:t>
      </w:r>
    </w:p>
    <w:p/>
    <w:p>
      <w:r>
        <w:t>6.5 Gürültü Ölçümleri</w:t>
      </w:r>
    </w:p>
    <w:p>
      <w:r>
        <w:t>- FR23’e uygun olarak aylık ölçüm yapılır.</w:t>
      </w:r>
    </w:p>
    <w:p>
      <w:r>
        <w:t>- Limit aşımı durumunda raporlama yapılır.</w:t>
      </w:r>
    </w:p>
    <w:p>
      <w:r>
        <w:t>- PL08 kapsamında yıllık analiz hazırlanır.</w:t>
      </w:r>
    </w:p>
    <w:p>
      <w:pPr>
        <w:pStyle w:val="Heading2"/>
      </w:pPr>
      <w:r>
        <w:t>7. KONTROL ve İZLEME</w:t>
      </w:r>
    </w:p>
    <w:p>
      <w:r>
        <w:t>- Gürültü seviyesi düzenli ölçülür.</w:t>
      </w:r>
    </w:p>
    <w:p>
      <w:r>
        <w:t>- Gürültülü makinelerin bakım periyotları izlenir.</w:t>
      </w:r>
    </w:p>
    <w:p>
      <w:r>
        <w:t>- Yakın çevre şikayetleri değerlendirilir.</w:t>
      </w:r>
    </w:p>
    <w:p>
      <w:pPr>
        <w:pStyle w:val="Heading2"/>
      </w:pPr>
      <w:r>
        <w:t>8. UYGUNSUZLUK ve DÖF</w:t>
      </w:r>
    </w:p>
    <w:p>
      <w:r>
        <w:t>- Limit aşımı → DÖF açılır.</w:t>
      </w:r>
    </w:p>
    <w:p>
      <w:r>
        <w:t>- Koruyucu kulaklık kullanılmaması → Uyarı.</w:t>
      </w:r>
    </w:p>
    <w:p>
      <w:r>
        <w:t>- Gürültü bariyeri eksikliği → FR23 ile kayıt açılır.</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