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INO-TACF-WI36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WI-36 SAHA ARAÇ VE TRAFİK YÖNETİMİ TALİMATI</w:t>
      </w:r>
    </w:p>
    <w:p>
      <w:pPr>
        <w:pStyle w:val="Heading2"/>
      </w:pPr>
      <w:r>
        <w:t>1. AMAÇ</w:t>
      </w:r>
    </w:p>
    <w:p>
      <w:r>
        <w:t>Bu talimat; Karapınar 500 MW GES kurulum sahasında kullanılan tüm araçların, iş makinelerinin, tankerlerin, forkliftlerin ve lojistik taşıma araçlarının güvenli, düzenli ve çevreye duyarlı bir şekilde hareket etmesini sağlamak için hazırlanmıştır.</w:t>
      </w:r>
    </w:p>
    <w:p>
      <w:pPr>
        <w:pStyle w:val="Heading2"/>
      </w:pPr>
      <w:r>
        <w:t>2. KAPSAM</w:t>
      </w:r>
    </w:p>
    <w:p>
      <w:r>
        <w:t>Bu talimat şantiye içi yollar, park alanları, forklift operasyon alanları, ağır makine güzergâhları, tanker rotaları, malzeme taşıma yolları ve yaya yollarının trafik düzenlemelerini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İş Sağlığı ve Güvenliği Kanunu</w:t>
      </w:r>
    </w:p>
    <w:p>
      <w:r>
        <w:t>- Karayolları Trafik Yönetmeliği</w:t>
      </w:r>
    </w:p>
    <w:p>
      <w:r>
        <w:t>- Çevre Kanunu</w:t>
      </w:r>
    </w:p>
    <w:p/>
    <w:p>
      <w:r>
        <w:t>Standartlar:</w:t>
      </w:r>
    </w:p>
    <w:p>
      <w:r>
        <w:t>- ISO 14001 Operasyonel Kontrol</w:t>
      </w:r>
    </w:p>
    <w:p>
      <w:r>
        <w:t>- ISO 45001 İş Sağlığı ve Güvenliği</w:t>
      </w:r>
    </w:p>
    <w:p>
      <w:r>
        <w:t>- ESS1–ESS2–ESS4 Sosyal ve Çevresel Güvenlik Gereklilikleri</w:t>
      </w:r>
    </w:p>
    <w:p/>
    <w:p>
      <w:r>
        <w:t>ÇYS Dokümanları:</w:t>
      </w:r>
    </w:p>
    <w:p>
      <w:r>
        <w:t>- PR07 Operasyonel Kontrol Prosedürü</w:t>
      </w:r>
    </w:p>
    <w:p>
      <w:r>
        <w:t>- PR22 Acil Durum Prosedürü</w:t>
      </w:r>
    </w:p>
    <w:p>
      <w:r>
        <w:t>- WI27 Saha Temizlik ve Düzen Talimatı</w:t>
      </w:r>
    </w:p>
    <w:p>
      <w:r>
        <w:t>- FR32 Araç Trafik Kontrol Formu</w:t>
      </w:r>
    </w:p>
    <w:p>
      <w:pPr>
        <w:pStyle w:val="Heading2"/>
      </w:pPr>
      <w:r>
        <w:t>4. TANIMLAR</w:t>
      </w:r>
    </w:p>
    <w:p>
      <w:r>
        <w:t>- Ağır Makine: Ekskavatör, loader, greyder, kepçe vb.</w:t>
      </w:r>
    </w:p>
    <w:p>
      <w:r>
        <w:t>- Trafik Güzergâhı: Araçların izin verilen rotaları.</w:t>
      </w:r>
    </w:p>
    <w:p>
      <w:r>
        <w:t>- Yaya Yolu: Personelin güvenli geçiş hattı.</w:t>
      </w:r>
    </w:p>
    <w:p>
      <w:pPr>
        <w:pStyle w:val="Heading2"/>
      </w:pPr>
      <w:r>
        <w:t>5. SORUMLULUKLAR</w:t>
      </w:r>
    </w:p>
    <w:p>
      <w:r>
        <w:t>- Saha Şefi:</w:t>
      </w:r>
    </w:p>
    <w:p>
      <w:r>
        <w:t xml:space="preserve">  • Araç akışını koordine eder.</w:t>
      </w:r>
    </w:p>
    <w:p>
      <w:r>
        <w:t xml:space="preserve">  • Levhaların uygunluğunu denetler.</w:t>
      </w:r>
    </w:p>
    <w:p/>
    <w:p>
      <w:r>
        <w:t>- Çevre Mühendisi:</w:t>
      </w:r>
    </w:p>
    <w:p>
      <w:r>
        <w:t xml:space="preserve">  • Toz, emisyon ve gürültü açısından trafik etkilerini izler.</w:t>
      </w:r>
    </w:p>
    <w:p>
      <w:r>
        <w:t xml:space="preserve">  • FR32 formunu kullanarak uygunsuzlukları raporlar.</w:t>
      </w:r>
    </w:p>
    <w:p/>
    <w:p>
      <w:r>
        <w:t>- Operatörler ve Sürücüler:</w:t>
      </w:r>
    </w:p>
    <w:p>
      <w:r>
        <w:t xml:space="preserve">  • Hız limitlerine uyar.</w:t>
      </w:r>
    </w:p>
    <w:p>
      <w:r>
        <w:t xml:space="preserve">  • Tehlikeli manevralardan kaçınır.</w:t>
      </w:r>
    </w:p>
    <w:p>
      <w:r>
        <w:t xml:space="preserve">  • Yaya yollarını kapatmaz.</w:t>
      </w:r>
    </w:p>
    <w:p>
      <w:pPr>
        <w:pStyle w:val="Heading2"/>
      </w:pPr>
      <w:r>
        <w:t>6. UYGULAMA ADIMLARI</w:t>
      </w:r>
    </w:p>
    <w:p>
      <w:r>
        <w:t>6.1 Hız Limitleri</w:t>
      </w:r>
    </w:p>
    <w:p>
      <w:r>
        <w:t>- Kamyonlar: 20 km/sa</w:t>
      </w:r>
    </w:p>
    <w:p>
      <w:r>
        <w:t>- Hafif araçlar: 30 km/sa</w:t>
      </w:r>
    </w:p>
    <w:p>
      <w:r>
        <w:t>- Forkliftler: 10 km/sa</w:t>
      </w:r>
    </w:p>
    <w:p/>
    <w:p>
      <w:r>
        <w:t>6.2 Araç Giriş–Çıkış Kuralları</w:t>
      </w:r>
    </w:p>
    <w:p>
      <w:r>
        <w:t>- Tüm araçlar girişte kayıt altına alınmalıdır.</w:t>
      </w:r>
    </w:p>
    <w:p>
      <w:r>
        <w:t>- Yükler emniyete alınmadan sahaya giriş yapılamaz.</w:t>
      </w:r>
    </w:p>
    <w:p/>
    <w:p>
      <w:r>
        <w:t>6.3 Malzeme Taşıma Kuralları</w:t>
      </w:r>
    </w:p>
    <w:p>
      <w:r>
        <w:t>- Aşırı yükleme yasaktır.</w:t>
      </w:r>
    </w:p>
    <w:p>
      <w:r>
        <w:t>- Tehlikeli malzeme taşıyan araçlar belirlenmiş özel güzergâhı kullanmalıdır.</w:t>
      </w:r>
    </w:p>
    <w:p/>
    <w:p>
      <w:r>
        <w:t>6.4 Yaya Güvenliği</w:t>
      </w:r>
    </w:p>
    <w:p>
      <w:r>
        <w:t>- Geri manevralarda spotter zorunludur.</w:t>
      </w:r>
    </w:p>
    <w:p>
      <w:r>
        <w:t>- Yaya yolları hiçbir şekilde kapatılamaz.</w:t>
      </w:r>
    </w:p>
    <w:p/>
    <w:p>
      <w:r>
        <w:t>6.5 Trafik Levhaları ve İşaretleme</w:t>
      </w:r>
    </w:p>
    <w:p>
      <w:r>
        <w:t>- Tüm güzergâhlarda uygun uyarı levhaları bulunmalıdır.</w:t>
      </w:r>
    </w:p>
    <w:p>
      <w:r>
        <w:t>- Gece çalışmaları için reflektif levhalar zorunludur.</w:t>
      </w:r>
    </w:p>
    <w:p/>
    <w:p>
      <w:r>
        <w:t>6.6 Forklift Operasyonları</w:t>
      </w:r>
    </w:p>
    <w:p>
      <w:r>
        <w:t>- Operasyon alanı izole edilmelidir.</w:t>
      </w:r>
    </w:p>
    <w:p>
      <w:r>
        <w:t>- Yük kaldırırken ani hareketlerden kaçınılmalıdır.</w:t>
      </w:r>
    </w:p>
    <w:p>
      <w:pPr>
        <w:pStyle w:val="Heading2"/>
      </w:pPr>
      <w:r>
        <w:t>7. KONTROL ve İZLEME</w:t>
      </w:r>
    </w:p>
    <w:p>
      <w:r>
        <w:t>- Günlük saha trafik gözlemleri yapılır.</w:t>
      </w:r>
    </w:p>
    <w:p>
      <w:r>
        <w:t>- FR32 Araç Trafik Kontrol Formu haftalık olarak doldurulur.</w:t>
      </w:r>
    </w:p>
    <w:p>
      <w:r>
        <w:t>- Bulgular PR07 kapsamında değerlendirilir.</w:t>
      </w:r>
    </w:p>
    <w:p>
      <w:pPr>
        <w:pStyle w:val="Heading2"/>
      </w:pPr>
      <w:r>
        <w:t>8. UYGUNSUZLUK ve DÖF</w:t>
      </w:r>
    </w:p>
    <w:p>
      <w:r>
        <w:t>- Hız limiti ihlali → Uyarı + eğitim.</w:t>
      </w:r>
    </w:p>
    <w:p>
      <w:r>
        <w:t>- Yaya yolunun kapanması → Anında düzeltme + DÖF.</w:t>
      </w:r>
    </w:p>
    <w:p>
      <w:r>
        <w:t>- Levha eksikliği → Anında aksiyon alınır.</w:t>
      </w:r>
    </w:p>
    <w:p>
      <w:pPr>
        <w:pStyle w:val="Heading2"/>
      </w:pPr>
      <w:r>
        <w:t>9. REVİZYON KAYDI</w:t>
      </w:r>
    </w:p>
    <w:p>
      <w:r>
        <w:t>Bu bölüm ilerleyen revizyonlarda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