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INO-TACF-WI37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WI-37 SAHA TOZ BASTIRMA VE YOL SULAMA TALİMATI</w:t>
      </w:r>
    </w:p>
    <w:p>
      <w:pPr>
        <w:pStyle w:val="Heading2"/>
      </w:pPr>
      <w:r>
        <w:t>1. AMAÇ</w:t>
      </w:r>
    </w:p>
    <w:p>
      <w:r>
        <w:t>Bu talimat, Karapınar 500 MW GES kurulum sahasında toz oluşumunu kontrol altına almak, çevresel etkileri azaltmak, çalışan sağlığını korumak ve ESS3 kapsamında gerekli toz bastırma uygulamalarının düzenli şekilde yapılmasını sağlamak amacıyla hazırlanmıştır.</w:t>
      </w:r>
    </w:p>
    <w:p>
      <w:pPr>
        <w:pStyle w:val="Heading2"/>
      </w:pPr>
      <w:r>
        <w:t>2. KAPSAM</w:t>
      </w:r>
    </w:p>
    <w:p>
      <w:r>
        <w:t>Saha içi yollar, kazı–dolgu alanları, ağır makine güzergâhları, malzeme stok sahaları, panel montaj alanları ve toz oluşum potansiyeli taşıyan tüm açık çalışma alanları kapsam dahilindedir.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Çevre Kanunu</w:t>
      </w:r>
    </w:p>
    <w:p>
      <w:r>
        <w:t>- Hava Kalitesi Değerlendirme ve Yönetimi Yönetmeliği</w:t>
      </w:r>
    </w:p>
    <w:p>
      <w:r>
        <w:t>- İş Sağlığı ve Güvenliği Kanunu</w:t>
      </w:r>
    </w:p>
    <w:p/>
    <w:p>
      <w:r>
        <w:t>Standartlar:</w:t>
      </w:r>
    </w:p>
    <w:p>
      <w:r>
        <w:t>- ISO 14001 Operasyonel Kontrol</w:t>
      </w:r>
    </w:p>
    <w:p>
      <w:r>
        <w:t>- ESS1–ESS3 Çevresel Performans Gereklilikleri</w:t>
      </w:r>
    </w:p>
    <w:p/>
    <w:p>
      <w:r>
        <w:t>ÇYS Dokümanları:</w:t>
      </w:r>
    </w:p>
    <w:p>
      <w:r>
        <w:t>- PR07 Operasyonel Kontrol Prosedürü</w:t>
      </w:r>
    </w:p>
    <w:p>
      <w:r>
        <w:t>- PR15 Su Yönetimi Prosedürü</w:t>
      </w:r>
    </w:p>
    <w:p>
      <w:r>
        <w:t>- PR10 Atık Yönetimi Prosedürü</w:t>
      </w:r>
    </w:p>
    <w:p>
      <w:r>
        <w:t>- WI25 Su Tasarrufu Talimatı</w:t>
      </w:r>
    </w:p>
    <w:p>
      <w:r>
        <w:t>- WI31 Tanker Su Yönetimi Talimatı</w:t>
      </w:r>
    </w:p>
    <w:p>
      <w:r>
        <w:t>- FR18 Su Tüketim Formu</w:t>
      </w:r>
    </w:p>
    <w:p>
      <w:r>
        <w:t>- FR33 Toz Bastırma Kontrol Formu</w:t>
      </w:r>
    </w:p>
    <w:p>
      <w:pPr>
        <w:pStyle w:val="Heading2"/>
      </w:pPr>
      <w:r>
        <w:t>4. TANIMLAR</w:t>
      </w:r>
    </w:p>
    <w:p>
      <w:r>
        <w:t>- Toz Bastırma: Su veya uygun yöntemlerle tozun havaya karışmasının kontrol altına alınması.</w:t>
      </w:r>
    </w:p>
    <w:p>
      <w:r>
        <w:t>- Yol Sulama: Sahadaki yolların su tankerleri ile belirli periyotlarda sulanması.</w:t>
      </w:r>
    </w:p>
    <w:p>
      <w:r>
        <w:t>- Kritik Alan: Yoğun araç trafiği veya rüzgâr etkisinin yüksek olduğu alanlar.</w:t>
      </w:r>
    </w:p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Toz seviyelerini değerlendirir.</w:t>
      </w:r>
    </w:p>
    <w:p>
      <w:r>
        <w:t xml:space="preserve">  • Sulama periyotlarını belirler.</w:t>
      </w:r>
    </w:p>
    <w:p>
      <w:r>
        <w:t xml:space="preserve">  • FR33 formunun doldurulmasını takip eder.</w:t>
      </w:r>
    </w:p>
    <w:p/>
    <w:p>
      <w:r>
        <w:t>- Saha Şefi:</w:t>
      </w:r>
    </w:p>
    <w:p>
      <w:r>
        <w:t xml:space="preserve">  • Tanker rotalarını belirler.</w:t>
      </w:r>
    </w:p>
    <w:p>
      <w:r>
        <w:t xml:space="preserve">  • Sulama ekibinin koordinasyonunu sağlar.</w:t>
      </w:r>
    </w:p>
    <w:p/>
    <w:p>
      <w:r>
        <w:t>- Tanker Operatörü:</w:t>
      </w:r>
    </w:p>
    <w:p>
      <w:r>
        <w:t xml:space="preserve">  • Belirlenen rotalara uygun sulama yapar.</w:t>
      </w:r>
    </w:p>
    <w:p>
      <w:r>
        <w:t xml:space="preserve">  • Günlük su tüketimini FR18’e işler.</w:t>
      </w:r>
    </w:p>
    <w:p/>
    <w:p>
      <w:r>
        <w:t>- Çalışanlar:</w:t>
      </w:r>
    </w:p>
    <w:p>
      <w:r>
        <w:t xml:space="preserve">  • Aşırı tozlanma durumlarını Çevre Birimine bildirir.</w:t>
      </w:r>
    </w:p>
    <w:p>
      <w:pPr>
        <w:pStyle w:val="Heading2"/>
      </w:pPr>
      <w:r>
        <w:t>6. UYGULAMA ADIMLARI</w:t>
      </w:r>
    </w:p>
    <w:p>
      <w:r>
        <w:t>6.1 Yol Sulama Periyotları</w:t>
      </w:r>
    </w:p>
    <w:p>
      <w:r>
        <w:t>- Ana yollar: 3–4 kez/gün</w:t>
      </w:r>
    </w:p>
    <w:p>
      <w:r>
        <w:t>- Ara yollar: 1–2 kez/gün</w:t>
      </w:r>
    </w:p>
    <w:p>
      <w:r>
        <w:t>- Rüzgâr &gt; 25 km/s ise sıklık arttırılır.</w:t>
      </w:r>
    </w:p>
    <w:p/>
    <w:p>
      <w:r>
        <w:t>6.2 Kazı–Dolgu Alanlarında Toz Kontrolü</w:t>
      </w:r>
    </w:p>
    <w:p>
      <w:r>
        <w:t>- Ekskavatör çalışma alanları çevresel risk derecesine göre saatlik sulanır.</w:t>
      </w:r>
    </w:p>
    <w:p>
      <w:r>
        <w:t>- Kamyon yükleme–boşaltma alanları düzenli nemlendirilir.</w:t>
      </w:r>
    </w:p>
    <w:p/>
    <w:p>
      <w:r>
        <w:t>6.3 Panel Montaj Alanlarında Toz Yönetimi</w:t>
      </w:r>
    </w:p>
    <w:p>
      <w:r>
        <w:t>- Kuru zeminlerde toz bulutu oluşmadan sulama yapılmalıdır.</w:t>
      </w:r>
    </w:p>
    <w:p/>
    <w:p>
      <w:r>
        <w:t>6.4 Su Kaynaklarının Kullanımı</w:t>
      </w:r>
    </w:p>
    <w:p>
      <w:r>
        <w:t>- Kullanılan su miktarı FR18 ile kayıt altına alınır.</w:t>
      </w:r>
    </w:p>
    <w:p>
      <w:r>
        <w:t>- Gereksiz sulama yapılmaz.</w:t>
      </w:r>
    </w:p>
    <w:p/>
    <w:p>
      <w:r>
        <w:t>6.5 Alternatif Toz Kontrol Önlemleri</w:t>
      </w:r>
    </w:p>
    <w:p>
      <w:r>
        <w:t>- Gerekli durumlarda geçici yol stabilize malzeme serilebilir.</w:t>
      </w:r>
    </w:p>
    <w:p>
      <w:r>
        <w:t>- Rüzgâr bariyerleri kurulabilir.</w:t>
      </w:r>
    </w:p>
    <w:p>
      <w:pPr>
        <w:pStyle w:val="Heading2"/>
      </w:pPr>
      <w:r>
        <w:t>7. KONTROL ve İZLEME</w:t>
      </w:r>
    </w:p>
    <w:p>
      <w:r>
        <w:t>- Günlük toz gözlemi yapılır.</w:t>
      </w:r>
    </w:p>
    <w:p>
      <w:r>
        <w:t>- Haftalık FR33 Toz Bastırma Kontrol Formu doldurulur.</w:t>
      </w:r>
    </w:p>
    <w:p>
      <w:r>
        <w:t>- Bulgular PR07 doğrultusunda raporlanır.</w:t>
      </w:r>
    </w:p>
    <w:p>
      <w:pPr>
        <w:pStyle w:val="Heading2"/>
      </w:pPr>
      <w:r>
        <w:t>8. UYGUNSUZLUK ve DÖF</w:t>
      </w:r>
    </w:p>
    <w:p>
      <w:r>
        <w:t>- Yetersiz sulama → Sıklık arttırılır + DÖF açılır.</w:t>
      </w:r>
    </w:p>
    <w:p>
      <w:r>
        <w:t>- Su tüketiminin kayıt dışı olması → Uyarı + yeniden eğitim.</w:t>
      </w:r>
    </w:p>
    <w:p>
      <w:r>
        <w:t>- Kritik alanlarda toz şikayeti → Acil sulama.</w:t>
      </w:r>
    </w:p>
    <w:p>
      <w:pPr>
        <w:pStyle w:val="Heading2"/>
      </w:pPr>
      <w:r>
        <w:t>9. REVİZYON KAYDI</w:t>
      </w:r>
    </w:p>
    <w:p>
      <w:r>
        <w:t>Bu bölüm ilerleyen revizyonlarda güncellenecektir.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