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INO-TACF-WI40</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WI-40 SAHA GENEL ÇEVRESEL UYGUNLUK DENETİMİ TALİMATI</w:t>
      </w:r>
    </w:p>
    <w:p>
      <w:pPr>
        <w:pStyle w:val="Heading2"/>
      </w:pPr>
      <w:r>
        <w:t>1. AMAÇ</w:t>
      </w:r>
    </w:p>
    <w:p>
      <w:r>
        <w:t>Bu talimat; Karapınar 500 MW GES kurulum sahasında tüm çevresel faaliyetlerin mevzuat, ISO 14001 ve Dünya Bankası ESS gerekliliklerine uygun olarak yürütülmesini sağlamak için yapılan çevresel uygunluk denetimlerinin yöntemini ve sorumluluklarını açıklamak amacıyla hazırlanmıştır.</w:t>
      </w:r>
    </w:p>
    <w:p>
      <w:pPr>
        <w:pStyle w:val="Heading2"/>
      </w:pPr>
      <w:r>
        <w:t>2. KAPSAM</w:t>
      </w:r>
    </w:p>
    <w:p>
      <w:r>
        <w:t>Bu talimat; atık yönetimi, su yönetimi, toz-bastırma süreçleri, gürültü kontrolü, ışık kirliliği, kimyasal yönetimi, tehlikeli maddeler, stok sahaları, geçici depolama alanları ve saha düzeni gibi tüm çevresel uyum gerektiren alanlarda gerçekleştirilen günlük, haftalık ve aylık denetimleri kapsar.</w:t>
      </w:r>
    </w:p>
    <w:p>
      <w:pPr>
        <w:pStyle w:val="Heading2"/>
      </w:pPr>
      <w:r>
        <w:t>3. DAYANAK ve İLGİLİ DOKÜMANLAR</w:t>
      </w:r>
    </w:p>
    <w:p>
      <w:r>
        <w:t>Mevzuat:</w:t>
      </w:r>
    </w:p>
    <w:p>
      <w:r>
        <w:t>- Çevre Kanunu</w:t>
      </w:r>
    </w:p>
    <w:p>
      <w:r>
        <w:t>- Atık Yönetimi Yönetmeliği</w:t>
      </w:r>
    </w:p>
    <w:p>
      <w:r>
        <w:t>- Sıfır Atık Yönetmeliği</w:t>
      </w:r>
    </w:p>
    <w:p>
      <w:r>
        <w:t>- Su Kirliliği Kontrolü Yönetmeliği</w:t>
      </w:r>
    </w:p>
    <w:p>
      <w:r>
        <w:t>- Hava Kalitesi Yönetmeliği</w:t>
      </w:r>
    </w:p>
    <w:p>
      <w:r>
        <w:t>- Gürültü Yönetmeliği</w:t>
      </w:r>
    </w:p>
    <w:p/>
    <w:p>
      <w:r>
        <w:t>Standartlar:</w:t>
      </w:r>
    </w:p>
    <w:p>
      <w:r>
        <w:t>- ISO 14001 Çevre Yönetim Sistemi</w:t>
      </w:r>
    </w:p>
    <w:p>
      <w:r>
        <w:t>- ESS1–ESS3–ESS4 Dünya Bankası Çevresel Standartları</w:t>
      </w:r>
    </w:p>
    <w:p/>
    <w:p>
      <w:r>
        <w:t>ÇYS Dokümanları:</w:t>
      </w:r>
    </w:p>
    <w:p>
      <w:r>
        <w:t>- PR07 Operasyonel Kontrol Prosedürü</w:t>
      </w:r>
    </w:p>
    <w:p>
      <w:r>
        <w:t>- PR10 Atık Yönetimi Prosedürü</w:t>
      </w:r>
    </w:p>
    <w:p>
      <w:r>
        <w:t>- PR15 Su Yönetimi Prosedürü</w:t>
      </w:r>
    </w:p>
    <w:p>
      <w:r>
        <w:t>- WI30, WI31, WI35, WI36, WI37, WI38, WI39 Talimatları</w:t>
      </w:r>
    </w:p>
    <w:p>
      <w:r>
        <w:t>- FR40 Çevresel Uygunluk Denetim Formu</w:t>
      </w:r>
    </w:p>
    <w:p>
      <w:pPr>
        <w:pStyle w:val="Heading2"/>
      </w:pPr>
      <w:r>
        <w:t>4. TANIMLAR</w:t>
      </w:r>
    </w:p>
    <w:p>
      <w:r>
        <w:t>- Çevresel Uygunluk Denetimi: Sahadaki çevresel risklerin yönetim seviyesini ölçmek, kayıt altına almak ve uygunsuzlukları tespit etmek amacıyla yapılan kontrol faaliyetidir.</w:t>
      </w:r>
    </w:p>
    <w:p>
      <w:r>
        <w:t>- Kritik Uygunsuzluk: Çevre kirliliğine yol açma potansiyeli yüksek uygunsuzluk.</w:t>
      </w:r>
    </w:p>
    <w:p>
      <w:r>
        <w:t>- Bulgular: Denetim sırasında tespit edilen gözlemler.</w:t>
      </w:r>
    </w:p>
    <w:p>
      <w:pPr>
        <w:pStyle w:val="Heading2"/>
      </w:pPr>
      <w:r>
        <w:t>5. SORUMLULUKLAR</w:t>
      </w:r>
    </w:p>
    <w:p>
      <w:r>
        <w:t>- Çevre Mühendisi:</w:t>
      </w:r>
    </w:p>
    <w:p>
      <w:r>
        <w:t xml:space="preserve">  • Denetim planını oluşturur.</w:t>
      </w:r>
    </w:p>
    <w:p>
      <w:r>
        <w:t xml:space="preserve">  • FR40 formunu doldurarak uygunsuzlukları kaydeder.</w:t>
      </w:r>
    </w:p>
    <w:p>
      <w:r>
        <w:t xml:space="preserve">  • Gerektiğinde DÖF açar.</w:t>
      </w:r>
    </w:p>
    <w:p/>
    <w:p>
      <w:r>
        <w:t>- Saha Şefi:</w:t>
      </w:r>
    </w:p>
    <w:p>
      <w:r>
        <w:t xml:space="preserve">  • Uygunsuzlukların giderilmesi için ekibi yönlendirir.</w:t>
      </w:r>
    </w:p>
    <w:p/>
    <w:p>
      <w:r>
        <w:t>- Atık, su ve stok sorumluları:</w:t>
      </w:r>
    </w:p>
    <w:p>
      <w:r>
        <w:t xml:space="preserve">  • Kendi alanlarına ait eksiklikleri gidermekle yükümlüdür.</w:t>
      </w:r>
    </w:p>
    <w:p>
      <w:pPr>
        <w:pStyle w:val="Heading2"/>
      </w:pPr>
      <w:r>
        <w:t>6. UYGULAMA ADIMLARI</w:t>
      </w:r>
    </w:p>
    <w:p>
      <w:r>
        <w:t>6.1 Denetim Türleri</w:t>
      </w:r>
    </w:p>
    <w:p>
      <w:r>
        <w:t>- Günlük: Görsel kontroller (atık sahası, yollar, su birikintisi, toz vs.)</w:t>
      </w:r>
    </w:p>
    <w:p>
      <w:r>
        <w:t>- Haftalık: Detaylı operasyonel kontrol (WI dosyaları ile uyumlu)</w:t>
      </w:r>
    </w:p>
    <w:p>
      <w:r>
        <w:t>- Aylık: Kapsamlı Çevresel Uyum Değerlendirmesi</w:t>
      </w:r>
    </w:p>
    <w:p/>
    <w:p>
      <w:r>
        <w:t>6.2 Denetim Kapsamı</w:t>
      </w:r>
    </w:p>
    <w:p>
      <w:r>
        <w:t>- Atık ayrıştırma doğruluğu</w:t>
      </w:r>
    </w:p>
    <w:p>
      <w:r>
        <w:t>- Atık sahası düzeni ve etiketleme</w:t>
      </w:r>
    </w:p>
    <w:p>
      <w:r>
        <w:t>- Tehlikeli atıkların yönetimi</w:t>
      </w:r>
    </w:p>
    <w:p>
      <w:r>
        <w:t>- Su kaçakları ve su tüketim verileri</w:t>
      </w:r>
    </w:p>
    <w:p>
      <w:r>
        <w:t>- Toz bastırma faaliyetlerinin yeterliliği</w:t>
      </w:r>
    </w:p>
    <w:p>
      <w:r>
        <w:t>- Gürültü kaynaklarının konumu ve ölçüm sonuçları</w:t>
      </w:r>
    </w:p>
    <w:p>
      <w:r>
        <w:t>- Işık kirliliği kontrolleri</w:t>
      </w:r>
    </w:p>
    <w:p>
      <w:r>
        <w:t>- Kimyasal depolama alanları</w:t>
      </w:r>
    </w:p>
    <w:p>
      <w:r>
        <w:t>- Araç yolları ve trafik güvenliği</w:t>
      </w:r>
    </w:p>
    <w:p/>
    <w:p>
      <w:r>
        <w:t>6.3 Uygunsuzlukların Kaydı</w:t>
      </w:r>
    </w:p>
    <w:p>
      <w:r>
        <w:t>- Tüm uygunsuzluklar FR40 formuna kaydedilir.</w:t>
      </w:r>
    </w:p>
    <w:p>
      <w:r>
        <w:t>- Kritik uygunsuzluk durumunda anında DÖF açılır.</w:t>
      </w:r>
    </w:p>
    <w:p/>
    <w:p>
      <w:r>
        <w:t>6.4 Raporlama</w:t>
      </w:r>
    </w:p>
    <w:p>
      <w:r>
        <w:t>- Haftalık uyum raporu hazırlanır.</w:t>
      </w:r>
    </w:p>
    <w:p>
      <w:r>
        <w:t>- Aylık rapor üst yönetime sunulur.</w:t>
      </w:r>
    </w:p>
    <w:p>
      <w:r>
        <w:t>- ESS uyum raporlaması proje gerekliliklerine göre yapılır.</w:t>
      </w:r>
    </w:p>
    <w:p>
      <w:pPr>
        <w:pStyle w:val="Heading2"/>
      </w:pPr>
      <w:r>
        <w:t>7. KONTROL ve İZLEME</w:t>
      </w:r>
    </w:p>
    <w:p>
      <w:r>
        <w:t>- Denetim planı yıllık olarak güncellenir.</w:t>
      </w:r>
    </w:p>
    <w:p>
      <w:r>
        <w:t>- FR40 kullanılarak tüm denetim kayıtları arşivlenir.</w:t>
      </w:r>
    </w:p>
    <w:p>
      <w:r>
        <w:t>- Uygunsuzluklar PR07 doğrultusunda takip edilir.</w:t>
      </w:r>
    </w:p>
    <w:p>
      <w:pPr>
        <w:pStyle w:val="Heading2"/>
      </w:pPr>
      <w:r>
        <w:t>8. UYGUNSUZLUK ve DÖF</w:t>
      </w:r>
    </w:p>
    <w:p>
      <w:r>
        <w:t>- Atıkların yanlış yönetilmesi → DÖF.</w:t>
      </w:r>
    </w:p>
    <w:p>
      <w:r>
        <w:t>- Kayıt tutulmaması → eğitim + DÖF.</w:t>
      </w:r>
    </w:p>
    <w:p>
      <w:r>
        <w:t>- Çoklu uygunsuzluk → Acil toplantı + kök neden analizi.</w:t>
      </w:r>
    </w:p>
    <w:p>
      <w:pPr>
        <w:pStyle w:val="Heading2"/>
      </w:pPr>
      <w:r>
        <w:t>9. REVİZYON KAYDI</w:t>
      </w:r>
    </w:p>
    <w:p>
      <w:r>
        <w:t>Bu bölüm ilerleyen revizyonlar ile güncellenecektir.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