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Doküman Kodu:</w:t>
            </w:r>
          </w:p>
        </w:tc>
        <w:tc>
          <w:tcPr>
            <w:tcW w:type="dxa" w:w="4320"/>
          </w:tcPr>
          <w:p>
            <w:r>
              <w:t>INO-TACF-FR16</w:t>
            </w:r>
          </w:p>
        </w:tc>
      </w:tr>
      <w:tr>
        <w:tc>
          <w:tcPr>
            <w:tcW w:type="dxa" w:w="4320"/>
          </w:tcPr>
          <w:p>
            <w:r>
              <w:t>Revizyon:</w:t>
            </w:r>
          </w:p>
        </w:tc>
        <w:tc>
          <w:tcPr>
            <w:tcW w:type="dxa" w:w="4320"/>
          </w:tcPr>
          <w:p>
            <w:r>
              <w:t>00</w:t>
            </w:r>
          </w:p>
        </w:tc>
      </w:tr>
      <w:tr>
        <w:tc>
          <w:tcPr>
            <w:tcW w:type="dxa" w:w="4320"/>
          </w:tcPr>
          <w:p>
            <w:r>
              <w:t>Tarih:</w:t>
            </w:r>
          </w:p>
        </w:tc>
        <w:tc>
          <w:tcPr>
            <w:tcW w:type="dxa" w:w="4320"/>
          </w:tcPr>
          <w:p>
            <w:r>
              <w:t>2025</w:t>
            </w:r>
          </w:p>
        </w:tc>
      </w:tr>
    </w:tbl>
    <w:p>
      <w:pPr>
        <w:pStyle w:val="Heading1"/>
        <w:jc w:val="center"/>
      </w:pPr>
      <w:r>
        <w:t>FR-16 JENERATÖR YAKIT VE BAKIM İZLEME FORMU</w:t>
      </w:r>
    </w:p>
    <w:p>
      <w:r>
        <w:t>Bu form; GES sahasında kullanılan jeneratörlerin günlük, haftalık ve aylık yakıt tüketimi, çalışma saatleri, bakım durumu ve olası arızaların izlenmesi amacıyla hazırlanmıştır. Form, jeneratörlerin enerji verimliliği ve çevresel uygunluk açısından takip edilmesini sağlar.</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Tarih</w:t>
            </w:r>
          </w:p>
        </w:tc>
        <w:tc>
          <w:tcPr>
            <w:tcW w:type="dxa" w:w="960"/>
          </w:tcPr>
          <w:p>
            <w:r>
              <w:t>Jeneratör Kodu</w:t>
            </w:r>
          </w:p>
        </w:tc>
        <w:tc>
          <w:tcPr>
            <w:tcW w:type="dxa" w:w="960"/>
          </w:tcPr>
          <w:p>
            <w:r>
              <w:t>Çalışma Saati</w:t>
            </w:r>
          </w:p>
        </w:tc>
        <w:tc>
          <w:tcPr>
            <w:tcW w:type="dxa" w:w="960"/>
          </w:tcPr>
          <w:p>
            <w:r>
              <w:t>Başlangıç Yakıt (L)</w:t>
            </w:r>
          </w:p>
        </w:tc>
        <w:tc>
          <w:tcPr>
            <w:tcW w:type="dxa" w:w="960"/>
          </w:tcPr>
          <w:p>
            <w:r>
              <w:t>Bitiş Yakıt (L)</w:t>
            </w:r>
          </w:p>
        </w:tc>
        <w:tc>
          <w:tcPr>
            <w:tcW w:type="dxa" w:w="960"/>
          </w:tcPr>
          <w:p>
            <w:r>
              <w:t>Tüketim (L)</w:t>
            </w:r>
          </w:p>
        </w:tc>
        <w:tc>
          <w:tcPr>
            <w:tcW w:type="dxa" w:w="960"/>
          </w:tcPr>
          <w:p>
            <w:r>
              <w:t>Bakım Durumu</w:t>
            </w:r>
          </w:p>
        </w:tc>
        <w:tc>
          <w:tcPr>
            <w:tcW w:type="dxa" w:w="960"/>
          </w:tcPr>
          <w:p>
            <w:r>
              <w:t>Arıza Var mı?</w:t>
            </w:r>
          </w:p>
        </w:tc>
        <w:tc>
          <w:tcPr>
            <w:tcW w:type="dxa" w:w="960"/>
          </w:tcPr>
          <w:p>
            <w:r>
              <w:t>Sorumlu</w:t>
            </w: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bl>
    <w:p>
      <w:pPr>
        <w:pStyle w:val="Heading2"/>
      </w:pPr>
      <w:r>
        <w:t>İlgili Dokümanlar</w:t>
      </w:r>
    </w:p>
    <w:p>
      <w:r>
        <w:t>• ÇYS-PR-14 Enerji ve Su Yönetimi Prosedürü</w:t>
      </w:r>
    </w:p>
    <w:p>
      <w:r>
        <w:t>• ÇYS-PR-07 Operasyonel Kontrol Prosedürü</w:t>
      </w:r>
    </w:p>
    <w:p>
      <w:r>
        <w:t>• ESS3 – Kaynak Verimliliği ve Enerji Kullanımı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