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CL05 – GÜNLÜK GÜRÜLTÜ GÖZLEM CHECKLISTİ</w:t>
      </w:r>
    </w:p>
    <w:p>
      <w:pPr>
        <w:pStyle w:val="Heading2"/>
      </w:pPr>
      <w:r>
        <w:t>İlgili Dokümanlar / Atıflar</w:t>
      </w:r>
    </w:p>
    <w:p>
      <w:r>
        <w:t>- PR18 – Gürültü Yönetimi Prosedürü</w:t>
      </w:r>
    </w:p>
    <w:p>
      <w:r>
        <w:t>- WI38 – Gürültü Yönetimi Talimatı</w:t>
      </w:r>
    </w:p>
    <w:p>
      <w:r>
        <w:t>- FR15 – Günlük Gürültü Gözlem Formu</w:t>
      </w:r>
    </w:p>
    <w:p>
      <w:pPr>
        <w:pStyle w:val="Heading2"/>
      </w:pPr>
      <w:r>
        <w:t>Kontrol Maddeleri</w:t>
      </w:r>
    </w:p>
    <w:p>
      <w:r>
        <w:t>1. Jeneratör gürültü seviyesi kabul edilebilir sınırlar içinde mi?</w:t>
      </w:r>
    </w:p>
    <w:p>
      <w:r>
        <w:t>2. Ekskavatör, yükleyici, kırıcı vb. ekipmanların gürültü seviyesi kontrol edildi mi?</w:t>
      </w:r>
    </w:p>
    <w:p>
      <w:r>
        <w:t>3. Gürültü bariyerleri doğru konumlandırılmış ve sağlam mı?</w:t>
      </w:r>
    </w:p>
    <w:p>
      <w:r>
        <w:t>4. Makine operatörlerinin gürültü KKD’si (kulaklık/tıkaç) var mı?</w:t>
      </w:r>
    </w:p>
    <w:p>
      <w:r>
        <w:t>5. Yakın çevrede çalışanlarda rahatsızlık/talep bildirimi oldu mu?</w:t>
      </w:r>
    </w:p>
    <w:p>
      <w:r>
        <w:t>6. Toplantı ve ofis alanına gürültü yayılımı kontrol edildi mi?</w:t>
      </w:r>
    </w:p>
    <w:p>
      <w:r>
        <w:t>7. Gürültünün artmasına sebep olabilecek titreşimli ekipman var mı?</w:t>
      </w:r>
    </w:p>
    <w:p>
      <w:r>
        <w:t>8. Rüzgar yönü ve hızına bağlı gürültü yayılım riski değerlendirildi mi?</w:t>
      </w:r>
    </w:p>
    <w:p>
      <w:r>
        <w:t>9. Saha gürültü noktaları belirlenen periyotta ölçüldü mü?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