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ÇYS-PR-21 SU KİRLİLİĞİ KONTROL PROSEDÜRÜ</w:t>
      </w:r>
    </w:p>
    <w:p>
      <w:pPr>
        <w:pStyle w:val="Heading2"/>
      </w:pPr>
      <w:r>
        <w:t>1. AMAÇ</w:t>
      </w:r>
    </w:p>
    <w:p>
      <w:r>
        <w:t>Bu prosedür; GES kurulum sahasında yüzey suyu, yeraltı suyu ve atıksu kaynaklı kirliliğin önlenmesi, kontrol edilmesi, numune alma, analiz, raporlama ve müdahale süreçlerinin standartlaştırılması amacıyla hazırlanmıştır.</w:t>
      </w:r>
    </w:p>
    <w:p>
      <w:r>
        <w:t>İlgili Dokümanlar: ÇYS-POL-01, ÇYS-PR-04, ÇYS-PR-07, ÇYS-FR-25, ESS1, ESS3</w:t>
      </w:r>
    </w:p>
    <w:p>
      <w:pPr>
        <w:pStyle w:val="Heading2"/>
      </w:pPr>
      <w:r>
        <w:t>2. KAPSAM</w:t>
      </w:r>
    </w:p>
    <w:p>
      <w:r>
        <w:t>Sahadaki tüm su kaynakları, fosseptik, yağmur suyu drenaj hatları, araç yıkama alanları, kimyasal depolar, yakıt tankı çevresi ve yüzey akışının etkilediği tüm bölgeler kapsam içindedir.</w:t>
      </w:r>
    </w:p>
    <w:p>
      <w:r>
        <w:t>İlgili Dokümanlar: ÇYS-PR-20, ÇYS-TM-18</w:t>
      </w:r>
    </w:p>
    <w:p>
      <w:pPr>
        <w:pStyle w:val="Heading2"/>
      </w:pPr>
      <w:r>
        <w:t>3. TANIMLAR</w:t>
      </w:r>
    </w:p>
    <w:p>
      <w:r>
        <w:t>Su Kirliliği: Suya karışan tehlikeli madde, petrol türevleri veya kirletici unsur.</w:t>
      </w:r>
    </w:p>
    <w:p>
      <w:r>
        <w:t>Atıksu: Her türlü kullanılmış ve kirlenmiş su.</w:t>
      </w:r>
    </w:p>
    <w:p>
      <w:r>
        <w:t>Numune: Su kalitesinin analizi amacıyla alınan temsil edici örnek.</w:t>
      </w:r>
    </w:p>
    <w:p>
      <w:r>
        <w:t>İlgili Dokümanlar: ÇYS-FR-25 Su Numune Kayıt Formu</w:t>
      </w:r>
    </w:p>
    <w:p>
      <w:pPr>
        <w:pStyle w:val="Heading2"/>
      </w:pPr>
      <w:r>
        <w:t>4. SORUMLULUKLAR</w:t>
      </w:r>
    </w:p>
    <w:p>
      <w:r>
        <w:t>Çevre Müdürü: Su kalitesi yönetim planını onaylar ve takip eder.</w:t>
      </w:r>
    </w:p>
    <w:p>
      <w:r>
        <w:t>Saha Çevre Uzmanı: Numune alma, ölçüm yapma, kayıt oluşturma ve uygunsuzlukları raporlama görevini yürütür.</w:t>
      </w:r>
    </w:p>
    <w:p>
      <w:r>
        <w:t>Taşeronlar: Yıkama, drenaj ve kimyasal kullanım alanlarında kurallara uymakla yükümlüdür.</w:t>
      </w:r>
    </w:p>
    <w:p>
      <w:r>
        <w:t>İlgili Dokümanlar: ÇYS-TM-18 Numune Alma Talimatı</w:t>
      </w:r>
    </w:p>
    <w:p>
      <w:pPr>
        <w:pStyle w:val="Heading2"/>
      </w:pPr>
      <w:r>
        <w:t>5. UYGULAMA</w:t>
      </w:r>
    </w:p>
    <w:p>
      <w:r>
        <w:t>1. Sahadaki tüm drenaj hatları ve su birikme alanları günlük olarak kontrol edilir.</w:t>
      </w:r>
    </w:p>
    <w:p>
      <w:r>
        <w:t>2. Yakıt ve kimyasal depolama alanlarında sızıntı kontrolü yapılır.</w:t>
      </w:r>
    </w:p>
    <w:p>
      <w:r>
        <w:t>3. Şüpheli durumlarda numune alınarak yetkili laboratuvara gönderilir.</w:t>
      </w:r>
    </w:p>
    <w:p>
      <w:r>
        <w:t>4. Limit aşımı olması halinde acil müdahale planı devreye alınır.</w:t>
      </w:r>
    </w:p>
    <w:p>
      <w:r>
        <w:t>5. Atıksu fosseptik tankı düzenli olarak vidanjör ile boşaltılır.</w:t>
      </w:r>
    </w:p>
    <w:p>
      <w:r>
        <w:t>6. Yağmur suyu kanalları temiz ve tıkanıklığa karşı açık tutulur.</w:t>
      </w:r>
    </w:p>
    <w:p>
      <w:r>
        <w:t>İlgili Dokümanlar: ÇYS-FR-25, ÇYS-PR-07</w:t>
      </w:r>
    </w:p>
    <w:p>
      <w:pPr>
        <w:pStyle w:val="Heading2"/>
      </w:pPr>
      <w:r>
        <w:t>6. KAYITLAR</w:t>
      </w:r>
    </w:p>
    <w:p>
      <w:r>
        <w:t>- ÇYS-FR-25 Su Numune Kayıt Formu</w:t>
      </w:r>
    </w:p>
    <w:p>
      <w:r>
        <w:t>- Laboratuvar analiz raporları</w:t>
      </w:r>
    </w:p>
    <w:p>
      <w:r>
        <w:t>- Fosseptik vidanjör makbuzları</w:t>
      </w:r>
    </w:p>
    <w:p>
      <w:r>
        <w:t>- Sızıntı müdahale kayıtları</w:t>
      </w:r>
    </w:p>
    <w:p>
      <w:pPr>
        <w:pStyle w:val="Heading2"/>
      </w:pPr>
      <w:r>
        <w:t>7. ESS ATIF TABLOSU</w:t>
      </w:r>
    </w:p>
    <w:p>
      <w:r>
        <w:t>ESS1: Su kirliliği risklerinin yönetimi.</w:t>
      </w:r>
    </w:p>
    <w:p>
      <w:r>
        <w:t>ESS3: Su kaynaklarının korunması ve kirlilik önleme gereklilikleri.</w:t>
      </w:r>
    </w:p>
    <w:p>
      <w:pPr>
        <w:pStyle w:val="Heading2"/>
      </w:pPr>
      <w:r>
        <w:t>8. MEVZUAT ATIFLARI</w:t>
      </w:r>
    </w:p>
    <w:p>
      <w:r>
        <w:t>- Su Kirliliği Kontrol Yönetmeliği</w:t>
      </w:r>
    </w:p>
    <w:p>
      <w:r>
        <w:t>- Atıksu Arıtma Yönetmelikleri</w:t>
      </w:r>
    </w:p>
    <w:p>
      <w:r>
        <w:t>- ISO 14001 Madde 8.1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