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INO-TACF-FR19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FR-19 GÜRÜLTÜ SEVİYESİ İZLEME FORMU</w:t>
      </w:r>
    </w:p>
    <w:p>
      <w:r>
        <w:t>Bu form; GES sahasında iş makineleri, jeneratörler, kazı-dolgu faaliyetleri, taşıt hareketleri ve diğer operasyonlardan kaynaklanan gürültü seviyelerinin düzenli olarak izlenmesi, kayıt altına alınması ve sınır değerlere uygunluğunun değerlendirilmesi amacıyla hazırlanmıştır.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Tarih</w:t>
            </w:r>
          </w:p>
        </w:tc>
        <w:tc>
          <w:tcPr>
            <w:tcW w:type="dxa" w:w="1234"/>
          </w:tcPr>
          <w:p>
            <w:r>
              <w:t>Lokasyon</w:t>
            </w:r>
          </w:p>
        </w:tc>
        <w:tc>
          <w:tcPr>
            <w:tcW w:type="dxa" w:w="1234"/>
          </w:tcPr>
          <w:p>
            <w:r>
              <w:t>Ekipman / Kaynak</w:t>
            </w:r>
          </w:p>
        </w:tc>
        <w:tc>
          <w:tcPr>
            <w:tcW w:type="dxa" w:w="1234"/>
          </w:tcPr>
          <w:p>
            <w:r>
              <w:t>Ölçülen Gürültü (dBA)</w:t>
            </w:r>
          </w:p>
        </w:tc>
        <w:tc>
          <w:tcPr>
            <w:tcW w:type="dxa" w:w="1234"/>
          </w:tcPr>
          <w:p>
            <w:r>
              <w:t>Limit Değer (dBA)</w:t>
            </w:r>
          </w:p>
        </w:tc>
        <w:tc>
          <w:tcPr>
            <w:tcW w:type="dxa" w:w="1234"/>
          </w:tcPr>
          <w:p>
            <w:r>
              <w:t>Aksiyon Gerekiyor mu?</w:t>
            </w:r>
          </w:p>
        </w:tc>
        <w:tc>
          <w:tcPr>
            <w:tcW w:type="dxa" w:w="1234"/>
          </w:tcPr>
          <w:p>
            <w:r>
              <w:t>Sorumlu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ÇYS-PR-17 Gürültü Yönetimi Prosedürü</w:t>
      </w:r>
    </w:p>
    <w:p>
      <w:r>
        <w:t>• Çevresel Gürültünün Değerlendirilmesi ve Yönetimi Yönetmeliği</w:t>
      </w:r>
    </w:p>
    <w:p>
      <w:r>
        <w:t>• ESS3 – Kirlilik Önleme Gereklilikleri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