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INO-TACF-PL01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PL-01 ATIK YÖNETİM PLANI</w:t>
      </w:r>
    </w:p>
    <w:p>
      <w:pPr>
        <w:pStyle w:val="Heading2"/>
      </w:pPr>
      <w:r>
        <w:t>1. AMAÇ</w:t>
      </w:r>
    </w:p>
    <w:p>
      <w:r>
        <w:t>Bu plan Karapınar 500 MW GES sahasında oluşan tüm atıkların; ayrıştırılması, depolanması, taşınması, geri dönüşümü veya bertarafının Çevre Mevzuatı, ISO 14001 ve Dünya Bankası ESS1–ESS3 standartlarına uygun yürütülmesini sağlar.</w:t>
      </w:r>
    </w:p>
    <w:p>
      <w:pPr>
        <w:pStyle w:val="Heading2"/>
      </w:pPr>
      <w:r>
        <w:t>2. KAPSAM</w:t>
      </w:r>
    </w:p>
    <w:p>
      <w:r>
        <w:t>Bu plan; yüklenici, alt yüklenici, ofisler, yatakhaneler, yemekhaneler ve saha çalışanlarını kapsar.</w:t>
      </w:r>
    </w:p>
    <w:p>
      <w:pPr>
        <w:pStyle w:val="Heading2"/>
      </w:pPr>
      <w:r>
        <w:t>3. DAYANAK &amp; İLGİLİ DOKÜMANLAR</w:t>
      </w:r>
    </w:p>
    <w:p>
      <w:r>
        <w:t>İlgili Prosedürler:</w:t>
      </w:r>
    </w:p>
    <w:p>
      <w:r>
        <w:t>- ÇYS-PR10 Atık Yönetimi Prosedürü</w:t>
      </w:r>
    </w:p>
    <w:p>
      <w:r>
        <w:t>- ÇYS-PR07 Operasyonel Kontrol Prosedürü</w:t>
      </w:r>
    </w:p>
    <w:p>
      <w:r>
        <w:t>- ÇYS-PR16 Toprak Kirliliği Prosedürü</w:t>
      </w:r>
    </w:p>
    <w:p>
      <w:r>
        <w:t>- ÇYS-PR22 Acil Durum Prosedürü</w:t>
      </w:r>
    </w:p>
    <w:p/>
    <w:p>
      <w:r>
        <w:t>İlgili Formlar:</w:t>
      </w:r>
    </w:p>
    <w:p>
      <w:r>
        <w:t>- FR01 Atık Takip Formu</w:t>
      </w:r>
    </w:p>
    <w:p>
      <w:r>
        <w:t>- FR02 Atık Geçici Depolama Kontrol Formu</w:t>
      </w:r>
    </w:p>
    <w:p>
      <w:r>
        <w:t>- FR03 Ambalaj Atık Ayrıştırma Formu</w:t>
      </w:r>
    </w:p>
    <w:p>
      <w:r>
        <w:t>- FR13 Toz Kontrol Formu</w:t>
      </w:r>
    </w:p>
    <w:p>
      <w:r>
        <w:t>- FR18/FR24 Toprak Kirliliği Formları</w:t>
      </w:r>
    </w:p>
    <w:p>
      <w:r>
        <w:t>- FR21 5S – Temizlik Formu</w:t>
      </w:r>
    </w:p>
    <w:p/>
    <w:p>
      <w:r>
        <w:t>Mevzuat:</w:t>
      </w:r>
    </w:p>
    <w:p>
      <w:r>
        <w:t>- Atık Yönetimi Yönetmeliği</w:t>
      </w:r>
    </w:p>
    <w:p>
      <w:r>
        <w:t>- Sıfır Atık Yönetmeliği</w:t>
      </w:r>
    </w:p>
    <w:p>
      <w:r>
        <w:t>- ISO 14001:2015</w:t>
      </w:r>
    </w:p>
    <w:p>
      <w:r>
        <w:t>- Dünya Bankası ESS1–ESS3</w:t>
      </w:r>
    </w:p>
    <w:p>
      <w:pPr>
        <w:pStyle w:val="Heading2"/>
      </w:pPr>
      <w:r>
        <w:t>4. TANIMLAR</w:t>
      </w:r>
    </w:p>
    <w:p>
      <w:r>
        <w:t>- Atık Sahası: 400 m² tehlikesiz / 150 m² tehlikeli alan</w:t>
      </w:r>
    </w:p>
    <w:p>
      <w:r>
        <w:t>- ATK: Atık Takip Kodu</w:t>
      </w:r>
    </w:p>
    <w:p>
      <w:r>
        <w:t>- Geçici Depolama: Yönetmelikte belirtilen süre</w:t>
      </w:r>
    </w:p>
    <w:p>
      <w:pPr>
        <w:pStyle w:val="Heading2"/>
      </w:pPr>
      <w:r>
        <w:t>5. ATIK YÖNETİM SİSTEMİ</w:t>
      </w:r>
    </w:p>
    <w:p>
      <w:r>
        <w:t>5.1 Kaynağında Ayrıştırma</w:t>
      </w:r>
    </w:p>
    <w:p>
      <w:r>
        <w:t>Atıklar renk kodlarına göre ayrılır.</w:t>
      </w:r>
    </w:p>
    <w:p/>
    <w:p>
      <w:r>
        <w:t>5.2 Geçici Depolama Alanı Yönetimi</w:t>
      </w:r>
    </w:p>
    <w:p>
      <w:r>
        <w:t>Haftalık FR02 kontrolü yapılır.</w:t>
      </w:r>
    </w:p>
    <w:p/>
    <w:p>
      <w:r>
        <w:t>5.3 Atık Takibi</w:t>
      </w:r>
    </w:p>
    <w:p>
      <w:r>
        <w:t>Tüm atıklar FR01 ile kayıt altına alınır.</w:t>
      </w:r>
    </w:p>
    <w:p/>
    <w:p>
      <w:r>
        <w:t>5.4 Tehlikeli Atık Yönetimi</w:t>
      </w:r>
    </w:p>
    <w:p>
      <w:r>
        <w:t>Etiketleme, depolama süresi, FR24 kayıt zorunludur.</w:t>
      </w:r>
    </w:p>
    <w:p/>
    <w:p>
      <w:r>
        <w:t>5.5 Geri Dönüşüm</w:t>
      </w:r>
    </w:p>
    <w:p>
      <w:r>
        <w:t>Lisanslı tesislere gönderim ve kayıt tutulması.</w:t>
      </w:r>
    </w:p>
    <w:p/>
    <w:p>
      <w:r>
        <w:t>5.6 Alt Yükleniciler</w:t>
      </w:r>
    </w:p>
    <w:p>
      <w:r>
        <w:t>Uygunsuzluklar FR10 ile kayıt altına alınır.</w:t>
      </w:r>
    </w:p>
    <w:p/>
    <w:p>
      <w:r>
        <w:t>5.7 Eğitim</w:t>
      </w:r>
    </w:p>
    <w:p>
      <w:r>
        <w:t>Kayıtlar FR04–FR06 ile takip edilir.</w:t>
      </w:r>
    </w:p>
    <w:p/>
    <w:p>
      <w:r>
        <w:t>5.8 İzleme</w:t>
      </w:r>
    </w:p>
    <w:p>
      <w:r>
        <w:t>Aylık KPI raporu FR20 ile hazırlanır.</w:t>
      </w:r>
    </w:p>
    <w:p>
      <w:pPr>
        <w:pStyle w:val="Heading2"/>
      </w:pPr>
      <w:r>
        <w:t>6. ACİL DURUM ATIK YÖNETİMİ</w:t>
      </w:r>
    </w:p>
    <w:p>
      <w:r>
        <w:t>Dökülme/sızıntı durumunda FR24 doldurulur, alan izole edilir, DÖF açılır.</w:t>
      </w:r>
    </w:p>
    <w:p>
      <w:pPr>
        <w:pStyle w:val="Heading2"/>
      </w:pPr>
      <w:r>
        <w:t>7. RAPORLAMA</w:t>
      </w:r>
    </w:p>
    <w:p>
      <w:r>
        <w:t>Aylık atık KPI raporu, yıllık çevresel izleme raporu hazırlanır.</w:t>
      </w:r>
    </w:p>
    <w:p>
      <w:pPr>
        <w:pStyle w:val="Heading2"/>
      </w:pPr>
      <w:r>
        <w:t>8. PLANIN GÖZDEN GEÇİRİLMESİ</w:t>
      </w:r>
    </w:p>
    <w:p>
      <w:r>
        <w:t>Plan yılda en az bir kez gözden geçirilir ve gerekli revizyon yapılır.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