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INO-TACF-PL02</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PL-02 SU YÖNETİM PLANI</w:t>
      </w:r>
    </w:p>
    <w:p>
      <w:pPr>
        <w:pStyle w:val="Heading2"/>
      </w:pPr>
      <w:r>
        <w:t>1. AMAÇ</w:t>
      </w:r>
    </w:p>
    <w:p>
      <w:r>
        <w:t>Bu plan; Karapınar 500 MW GES sahasında su tüketimi, içme suyu kalitesi, proses suları, numune alma, deşarj, atık su yönetimi ve su verimliliği süreçlerinin mevzuat, ISO 14001 ve Dünya Bankası ESS3 standartlarına uygun şekilde yönetilmesini sağlar.</w:t>
      </w:r>
    </w:p>
    <w:p>
      <w:pPr>
        <w:pStyle w:val="Heading2"/>
      </w:pPr>
      <w:r>
        <w:t>2. KAPSAM</w:t>
      </w:r>
    </w:p>
    <w:p>
      <w:r>
        <w:t>Bu plan; ofisler, yatakhaneler, yemekhaneler, şantiye sahası, jeneratör alanları, geçici depolama alanları ve tüm yüklenici/alt yüklenici faaliyetlerini kapsar.</w:t>
      </w:r>
    </w:p>
    <w:p>
      <w:pPr>
        <w:pStyle w:val="Heading2"/>
      </w:pPr>
      <w:r>
        <w:t>3. DAYANAK &amp; İLGİLİ DOKÜMANLAR</w:t>
      </w:r>
    </w:p>
    <w:p>
      <w:r>
        <w:t>İlgili Prosedürler:</w:t>
      </w:r>
    </w:p>
    <w:p>
      <w:r>
        <w:t>- ÇYS-PR15 Su Yönetimi Prosedürü</w:t>
      </w:r>
    </w:p>
    <w:p>
      <w:r>
        <w:t>- ÇYS-PR07 Operasyonel Kontrol Prosedürü</w:t>
      </w:r>
    </w:p>
    <w:p>
      <w:r>
        <w:t>- ÇYS-PR16 Toprak Kirliliği Prosedürü</w:t>
      </w:r>
    </w:p>
    <w:p/>
    <w:p>
      <w:r>
        <w:t>İlgili Formlar:</w:t>
      </w:r>
    </w:p>
    <w:p>
      <w:r>
        <w:t>- FR14 Su Tüketimi İzleme Formu</w:t>
      </w:r>
    </w:p>
    <w:p>
      <w:r>
        <w:t>- FR17 Su Kalitesi Numune Formu</w:t>
      </w:r>
    </w:p>
    <w:p>
      <w:r>
        <w:t>- FR25 Su Numune Kayıt Formu</w:t>
      </w:r>
    </w:p>
    <w:p>
      <w:r>
        <w:t>- FR21 Temizlik/5S Formu</w:t>
      </w:r>
    </w:p>
    <w:p/>
    <w:p>
      <w:r>
        <w:t>Mevzuat:</w:t>
      </w:r>
    </w:p>
    <w:p>
      <w:r>
        <w:t>- Su Kirliliği Kontrol Yönetmeliği</w:t>
      </w:r>
    </w:p>
    <w:p>
      <w:r>
        <w:t>- İçme Suyu Kalitesi Yönetmeliği</w:t>
      </w:r>
    </w:p>
    <w:p>
      <w:r>
        <w:t>- ISO 14001:2015</w:t>
      </w:r>
    </w:p>
    <w:p>
      <w:r>
        <w:t>- Dünya Bankası ESS3 Kaynak Verimliliği Standardı</w:t>
      </w:r>
    </w:p>
    <w:p>
      <w:pPr>
        <w:pStyle w:val="Heading2"/>
      </w:pPr>
      <w:r>
        <w:t>4. TANIMLAR</w:t>
      </w:r>
    </w:p>
    <w:p>
      <w:r>
        <w:t>- Proses Suyu: Şantiye faaliyetlerinde kullanılan teknik su</w:t>
      </w:r>
    </w:p>
    <w:p>
      <w:r>
        <w:t>- İçme &amp; Kullanma Suyu: Personele sağlanan şebeke/arıtılmış su</w:t>
      </w:r>
    </w:p>
    <w:p>
      <w:r>
        <w:t>- Numune: FR17 ve FR25 kapsamında alınan su örnekleri</w:t>
      </w:r>
    </w:p>
    <w:p>
      <w:pPr>
        <w:pStyle w:val="Heading2"/>
      </w:pPr>
      <w:r>
        <w:t>5. SU YÖNETİM SİSTEMİ</w:t>
      </w:r>
    </w:p>
    <w:p>
      <w:r>
        <w:t>5.1 Su Tüketimi Yönetimi</w:t>
      </w:r>
    </w:p>
    <w:p>
      <w:r>
        <w:t>Su kullanım noktaları aylık olarak FR14 ile takip edilir.</w:t>
      </w:r>
    </w:p>
    <w:p/>
    <w:p>
      <w:r>
        <w:t>5.2 İçme Suyu Yönetimi</w:t>
      </w:r>
    </w:p>
    <w:p>
      <w:r>
        <w:t>Düzenli analizler FR17 ile kayıt altına alınır.</w:t>
      </w:r>
    </w:p>
    <w:p/>
    <w:p>
      <w:r>
        <w:t>5.3 Proses Suyu Yönetimi</w:t>
      </w:r>
    </w:p>
    <w:p>
      <w:r>
        <w:t>Jeneratör, temizlik ve saha sulaması tüketimleri takip edilir.</w:t>
      </w:r>
    </w:p>
    <w:p/>
    <w:p>
      <w:r>
        <w:t>5.4 Atık Su Yönetimi</w:t>
      </w:r>
    </w:p>
    <w:p>
      <w:r>
        <w:t>Kanalizasyon bağlantısı olan bölgeler yönetmeliklere uygun işletilir.</w:t>
      </w:r>
    </w:p>
    <w:p/>
    <w:p>
      <w:r>
        <w:t>5.5 Numune Alma</w:t>
      </w:r>
    </w:p>
    <w:p>
      <w:r>
        <w:t>Numuneler FR17'ye işlenir; laboratuvar sonuçları FR25 ile kaydedilir.</w:t>
      </w:r>
    </w:p>
    <w:p/>
    <w:p>
      <w:r>
        <w:t>5.6 Su Verimliliği Önlemleri</w:t>
      </w:r>
    </w:p>
    <w:p>
      <w:r>
        <w:t>Düşük debili ekipmanlar, kaçak kontrolü, eğitim faaliyetleri uygulanır.</w:t>
      </w:r>
    </w:p>
    <w:p>
      <w:pPr>
        <w:pStyle w:val="Heading2"/>
      </w:pPr>
      <w:r>
        <w:t>6. RİSKLER VE ÖNLEYİCİ FAALİYETLER</w:t>
      </w:r>
    </w:p>
    <w:p>
      <w:r>
        <w:t>- Su kirliliği riski</w:t>
      </w:r>
    </w:p>
    <w:p>
      <w:r>
        <w:t>- Numune uygunsuzluğu</w:t>
      </w:r>
    </w:p>
    <w:p>
      <w:r>
        <w:t>- Kaçak/arıza kaynaklı aşırı tüketim</w:t>
      </w:r>
    </w:p>
    <w:p>
      <w:r>
        <w:t>Bu durumlar FR10 DÖF formu ile değerlendirilir.</w:t>
      </w:r>
    </w:p>
    <w:p>
      <w:pPr>
        <w:pStyle w:val="Heading2"/>
      </w:pPr>
      <w:r>
        <w:t>7. RAPORLAMA</w:t>
      </w:r>
    </w:p>
    <w:p>
      <w:r>
        <w:t>Aylık su tüketim raporu, yıllık su performans raporu hazırlanır ve çevresel KPI'lara (FR20) işlenir.</w:t>
      </w:r>
    </w:p>
    <w:p>
      <w:pPr>
        <w:pStyle w:val="Heading2"/>
      </w:pPr>
      <w:r>
        <w:t>8. PLANIN GÖZDEN GEÇİRİLMESİ</w:t>
      </w:r>
    </w:p>
    <w:p>
      <w:r>
        <w:t>Bu plan yılda en az bir kez gözden geçirilir; gerekli durumlarda revize edilir.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