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INO-TACF-PL03</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PL-03 ENERJİ YÖNETİM PLANI</w:t>
      </w:r>
    </w:p>
    <w:p>
      <w:pPr>
        <w:pStyle w:val="Heading2"/>
      </w:pPr>
      <w:r>
        <w:t>1. AMAÇ</w:t>
      </w:r>
    </w:p>
    <w:p>
      <w:r>
        <w:t>Bu plan; Karapınar 500 MW GES sahasında enerji tüketiminin ölçülmesi, analiz edilmesi, enerji verimliliği çalışmalarının planlanması, kayıt altına alınması ve ISO 14001 ile Dünya Bankası ESS3 (Kaynak Verimliliği) standartlarına uygun olarak yönetilmesini sağlar.</w:t>
      </w:r>
    </w:p>
    <w:p>
      <w:pPr>
        <w:pStyle w:val="Heading2"/>
      </w:pPr>
      <w:r>
        <w:t>2. KAPSAM</w:t>
      </w:r>
    </w:p>
    <w:p>
      <w:r>
        <w:t>Bu plan; idari ofisler, yatakhaneler, yemekhane, depolar, şantiye alanı, jeneratörler, şarj istasyonları, geçici depolama alanları, tüm yüklenici ve alt yüklenicileri kapsar.</w:t>
      </w:r>
    </w:p>
    <w:p>
      <w:pPr>
        <w:pStyle w:val="Heading2"/>
      </w:pPr>
      <w:r>
        <w:t>3. DAYANAK &amp; İLGİLİ DOKÜMANLAR</w:t>
      </w:r>
    </w:p>
    <w:p>
      <w:r>
        <w:t>İlgili Prosedürler:</w:t>
      </w:r>
    </w:p>
    <w:p>
      <w:r>
        <w:t>- ÇYS-PR14 Enerji ve Su Yönetimi Prosedürü</w:t>
      </w:r>
    </w:p>
    <w:p>
      <w:r>
        <w:t>- ÇYS-PR07 Operasyonel Kontrol Prosedürü</w:t>
      </w:r>
    </w:p>
    <w:p>
      <w:r>
        <w:t>- ÇYS-PR22 Acil Durum Prosedürü</w:t>
      </w:r>
    </w:p>
    <w:p/>
    <w:p>
      <w:r>
        <w:t>İlgili Formlar:</w:t>
      </w:r>
    </w:p>
    <w:p>
      <w:r>
        <w:t>- FR15 Yakıt Tüketimi Formu</w:t>
      </w:r>
    </w:p>
    <w:p>
      <w:r>
        <w:t>- FR16 Jeneratör Yakıt &amp; Bakım Formu</w:t>
      </w:r>
    </w:p>
    <w:p>
      <w:r>
        <w:t>- FR29 Enerji Tüketimi Takip Formu</w:t>
      </w:r>
    </w:p>
    <w:p>
      <w:r>
        <w:t>- FR20 Çevresel KPI Formu</w:t>
      </w:r>
    </w:p>
    <w:p/>
    <w:p>
      <w:r>
        <w:t>Mevzuat ve Standartlar:</w:t>
      </w:r>
    </w:p>
    <w:p>
      <w:r>
        <w:t>- ISO 14001:2015</w:t>
      </w:r>
    </w:p>
    <w:p>
      <w:r>
        <w:t>- ISO 50001 Enerji Yönetim Sistemi</w:t>
      </w:r>
    </w:p>
    <w:p>
      <w:r>
        <w:t>- Dünya Bankası ESS3</w:t>
      </w:r>
    </w:p>
    <w:p>
      <w:r>
        <w:t>- Enerji Verimliliği Kanunu</w:t>
      </w:r>
    </w:p>
    <w:p>
      <w:pPr>
        <w:pStyle w:val="Heading2"/>
      </w:pPr>
      <w:r>
        <w:t>4. TANIMLAR</w:t>
      </w:r>
    </w:p>
    <w:p>
      <w:r>
        <w:t>- Enerji Tüketim Noktası: Sayaç veya ölçüm kaynağının bulunduğu alan</w:t>
      </w:r>
    </w:p>
    <w:p>
      <w:r>
        <w:t>- Jeneratör Enerji Tüketimi: FR16 ile izlenen yakıt bazlı enerji ölçümü</w:t>
      </w:r>
    </w:p>
    <w:p>
      <w:r>
        <w:t>- Enerji KPI: FR20 üzerinden oluşturulan aylık performans göstergeleri</w:t>
      </w:r>
    </w:p>
    <w:p>
      <w:pPr>
        <w:pStyle w:val="Heading2"/>
      </w:pPr>
      <w:r>
        <w:t>5. ENERJİ YÖNETİM SİSTEMİ</w:t>
      </w:r>
    </w:p>
    <w:p>
      <w:r>
        <w:t>5.1 Enerji Tüketimi Ölçümü</w:t>
      </w:r>
    </w:p>
    <w:p>
      <w:r>
        <w:t>Elektrik sayaçları aylık olarak FR29 ile takip edilir.</w:t>
      </w:r>
    </w:p>
    <w:p/>
    <w:p>
      <w:r>
        <w:t>5.2 Jeneratör Enerji Yönetimi</w:t>
      </w:r>
    </w:p>
    <w:p>
      <w:r>
        <w:t>Yakıt tüketimi FR16 ile kayıt altına alınır.</w:t>
      </w:r>
    </w:p>
    <w:p/>
    <w:p>
      <w:r>
        <w:t>5.3 Enerji Verimliliği Uygulamaları</w:t>
      </w:r>
    </w:p>
    <w:p>
      <w:r>
        <w:t>LED aydınlatma, düşük tüketimli ekipman, kapalı devre kontrol uygulamaları.</w:t>
      </w:r>
    </w:p>
    <w:p/>
    <w:p>
      <w:r>
        <w:t>5.4 Alt Yüklenici Enerji Kullanımı</w:t>
      </w:r>
    </w:p>
    <w:p>
      <w:r>
        <w:t>Tüketimler FR29’a işlenir, uygunsuzluklar FR10 ile değerlendirilir.</w:t>
      </w:r>
    </w:p>
    <w:p/>
    <w:p>
      <w:r>
        <w:t>5.5 Enerji Tasarruf Tedbirleri</w:t>
      </w:r>
    </w:p>
    <w:p>
      <w:r>
        <w:t>Eğitim, ekipman optimizasyonu, kaçak tespit, otomasyon çözümleri.</w:t>
      </w:r>
    </w:p>
    <w:p/>
    <w:p>
      <w:r>
        <w:t>5.6 İzleme ve Raporlama</w:t>
      </w:r>
    </w:p>
    <w:p>
      <w:r>
        <w:t>Aylık enerji raporu hazırlanır ve FR20'ye işlenir.</w:t>
      </w:r>
    </w:p>
    <w:p>
      <w:pPr>
        <w:pStyle w:val="Heading2"/>
      </w:pPr>
      <w:r>
        <w:t>6. RİSKLER VE ÖNLEYİCİ FAALİYETLER</w:t>
      </w:r>
    </w:p>
    <w:p>
      <w:r>
        <w:t>- Aşırı enerji tüketimi</w:t>
      </w:r>
    </w:p>
    <w:p>
      <w:r>
        <w:t>- Ekipman verimsizliği</w:t>
      </w:r>
    </w:p>
    <w:p>
      <w:r>
        <w:t>- Kaçak tüketim</w:t>
      </w:r>
    </w:p>
    <w:p>
      <w:r>
        <w:t>Tespit halinde FR10 DÖF açılır.</w:t>
      </w:r>
    </w:p>
    <w:p>
      <w:pPr>
        <w:pStyle w:val="Heading2"/>
      </w:pPr>
      <w:r>
        <w:t>7. RAPORLAMA</w:t>
      </w:r>
    </w:p>
    <w:p>
      <w:r>
        <w:t>Aylık enerji tüketim raporu, jeneratör performans raporu ve yıllık enerji analiz raporu hazırlanır.</w:t>
      </w:r>
    </w:p>
    <w:p>
      <w:pPr>
        <w:pStyle w:val="Heading2"/>
      </w:pPr>
      <w:r>
        <w:t>8. PLANIN GÖZDEN GEÇİRİLMESİ</w:t>
      </w:r>
    </w:p>
    <w:p>
      <w:r>
        <w:t>Plan yılda bir kez gözden geçirilir ve gerekli revizyonlar yapılır.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