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INO-TACF-PL08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PL-08 ÇEVRESEL İZLEME PLANI</w:t>
      </w:r>
    </w:p>
    <w:p>
      <w:pPr>
        <w:pStyle w:val="Heading2"/>
      </w:pPr>
      <w:r>
        <w:t>1. AMAÇ</w:t>
      </w:r>
    </w:p>
    <w:p>
      <w:r>
        <w:t>Bu plan; Karapınar 500 MW GES sahasında gerçekleştirilen tüm çevresel izleme faaliyetlerinin ISO 14001, ulusal mevzuat ve Dünya Bankası ESS1–ESS3 standartlarına uygun şekilde yürütülmesini sağlamak amacıyla hazırlanmıştır.</w:t>
      </w:r>
    </w:p>
    <w:p>
      <w:pPr>
        <w:pStyle w:val="Heading2"/>
      </w:pPr>
      <w:r>
        <w:t>2. KAPSAM</w:t>
      </w:r>
    </w:p>
    <w:p>
      <w:r>
        <w:t>Bu plan; su, enerji, toz, gürültü, atık, flora–fauna, kazı–dolgu ve saha temizlik/5S izleme faaliyetlerini kapsar. Alt yüklenici faaliyetleri dahildir.</w:t>
      </w:r>
    </w:p>
    <w:p>
      <w:pPr>
        <w:pStyle w:val="Heading2"/>
      </w:pPr>
      <w:r>
        <w:t>3. DAYANAK &amp; İLGİLİ DOKÜMANLAR</w:t>
      </w:r>
    </w:p>
    <w:p>
      <w:r>
        <w:t>Prosedürler:</w:t>
      </w:r>
    </w:p>
    <w:p>
      <w:r>
        <w:t>- ÇYS-PR07 Operasyonel Kontrol Prosedürü</w:t>
      </w:r>
    </w:p>
    <w:p>
      <w:r>
        <w:t>- ÇYS-PR10 Atık Yönetimi Prosedürü</w:t>
      </w:r>
    </w:p>
    <w:p>
      <w:r>
        <w:t>- ÇYS-PR14 Enerji ve Su Yönetimi</w:t>
      </w:r>
    </w:p>
    <w:p>
      <w:r>
        <w:t>- ÇYS-PR17 Gürültü Yönetimi</w:t>
      </w:r>
    </w:p>
    <w:p>
      <w:r>
        <w:t>- ÇYS-PR18 Kazı-Dolgu</w:t>
      </w:r>
    </w:p>
    <w:p>
      <w:r>
        <w:t>- ÇYS-PR19 Ekosistem Yönetimi</w:t>
      </w:r>
    </w:p>
    <w:p>
      <w:r>
        <w:t>- ÇYS-PR15 Su Yönetimi</w:t>
      </w:r>
    </w:p>
    <w:p/>
    <w:p>
      <w:r>
        <w:t>Formlar:</w:t>
      </w:r>
    </w:p>
    <w:p>
      <w:r>
        <w:t>- FR14 Su Tüketimi Formu</w:t>
      </w:r>
    </w:p>
    <w:p>
      <w:r>
        <w:t>- FR15 Yakıt Tüketimi Formu</w:t>
      </w:r>
    </w:p>
    <w:p>
      <w:r>
        <w:t>- FR16 Jeneratör Formu</w:t>
      </w:r>
    </w:p>
    <w:p>
      <w:r>
        <w:t>- FR17 Su Kalitesi Formu</w:t>
      </w:r>
    </w:p>
    <w:p>
      <w:r>
        <w:t>- FR18 Toprak Kirliliği Formu</w:t>
      </w:r>
    </w:p>
    <w:p>
      <w:r>
        <w:t>- FR19 Gürültü Formu</w:t>
      </w:r>
    </w:p>
    <w:p>
      <w:r>
        <w:t>- FR20 KPI Formu</w:t>
      </w:r>
    </w:p>
    <w:p>
      <w:r>
        <w:t>- FR21 5S Formu</w:t>
      </w:r>
    </w:p>
    <w:p>
      <w:r>
        <w:t>- FR22 Kazı-Dolgu Formu</w:t>
      </w:r>
    </w:p>
    <w:p>
      <w:r>
        <w:t>- FR23 Gürültü Ölçüm Kayıt Formu</w:t>
      </w:r>
    </w:p>
    <w:p>
      <w:r>
        <w:t>- FR24 Toprak Olay Formu</w:t>
      </w:r>
    </w:p>
    <w:p>
      <w:r>
        <w:t>- FR25 Su Numune Kayıt Formu</w:t>
      </w:r>
    </w:p>
    <w:p>
      <w:r>
        <w:t>- FR27 Flora–Fauna Formu</w:t>
      </w:r>
    </w:p>
    <w:p>
      <w:r>
        <w:t>- FR29 Enerji Takip Formu</w:t>
      </w:r>
    </w:p>
    <w:p/>
    <w:p>
      <w:r>
        <w:t>Standartlar:</w:t>
      </w:r>
    </w:p>
    <w:p>
      <w:r>
        <w:t>- ISO 14001:2015 Madde 9</w:t>
      </w:r>
    </w:p>
    <w:p>
      <w:r>
        <w:t>- Dünya Bankası ESS1–ESS3</w:t>
      </w:r>
    </w:p>
    <w:p>
      <w:pPr>
        <w:pStyle w:val="Heading2"/>
      </w:pPr>
      <w:r>
        <w:t>4. İZLEME PARAMETRELERİ VE PERİYOTLARI</w:t>
      </w:r>
    </w:p>
    <w:p>
      <w:r>
        <w:t>Su Tüketimi (FR14) – Aylık</w:t>
      </w:r>
    </w:p>
    <w:p>
      <w:r>
        <w:t>Yakıt Tüketimi (FR15) – Aylık</w:t>
      </w:r>
    </w:p>
    <w:p>
      <w:r>
        <w:t>Jeneratör Kontrol (FR16) – Haftalık / Aylık</w:t>
      </w:r>
    </w:p>
    <w:p>
      <w:r>
        <w:t>Su Kalitesi (FR17/FR25) – 3 Aylık / Gerektiğinde</w:t>
      </w:r>
    </w:p>
    <w:p>
      <w:r>
        <w:t>Toprak Kirliliği (FR18/FR24) – Sürekli İzleme</w:t>
      </w:r>
    </w:p>
    <w:p>
      <w:r>
        <w:t>Gürültü Seviyesi (FR19) – Aylık</w:t>
      </w:r>
    </w:p>
    <w:p>
      <w:r>
        <w:t>Gürültü Ölçümleri (FR23) – İhtiyaca Bağlı / Şikayet Üzerine</w:t>
      </w:r>
    </w:p>
    <w:p>
      <w:r>
        <w:t>Toz İzleme (FR13) – Haftalık</w:t>
      </w:r>
    </w:p>
    <w:p>
      <w:r>
        <w:t>Atık İzleme (FR01–FR03) – Aylık</w:t>
      </w:r>
    </w:p>
    <w:p>
      <w:r>
        <w:t>Flora–Fauna (FR27) – Aylık</w:t>
      </w:r>
    </w:p>
    <w:p>
      <w:r>
        <w:t>Kazı-Dolgu İzleme (FR22) – Günlük / Haftalık</w:t>
      </w:r>
    </w:p>
    <w:p>
      <w:r>
        <w:t>5S Temizlik (FR21) – Haftalık</w:t>
      </w:r>
    </w:p>
    <w:p>
      <w:r>
        <w:t>Enerji Tüketimi (FR29) – Aylık</w:t>
      </w:r>
    </w:p>
    <w:p>
      <w:r>
        <w:t>KPI Analizi (FR20) – Aylık</w:t>
      </w:r>
    </w:p>
    <w:p>
      <w:pPr>
        <w:pStyle w:val="Heading2"/>
      </w:pPr>
      <w:r>
        <w:t>5. İZLEME YÖNTEMLERİ</w:t>
      </w:r>
    </w:p>
    <w:p>
      <w:r>
        <w:t>- Numune alma (su, toprak)</w:t>
      </w:r>
    </w:p>
    <w:p>
      <w:r>
        <w:t>- Laboratuvar analizi</w:t>
      </w:r>
    </w:p>
    <w:p>
      <w:r>
        <w:t>- Ekipmanla ölçüm (gürültü, toz)</w:t>
      </w:r>
    </w:p>
    <w:p>
      <w:r>
        <w:t>- Sayaç okuma (enerji, su)</w:t>
      </w:r>
    </w:p>
    <w:p>
      <w:r>
        <w:t>- Gözlemsel izleme (flora–fauna, 5S)</w:t>
      </w:r>
    </w:p>
    <w:p>
      <w:r>
        <w:t>- Fotoğraf ve saha kayıtları</w:t>
      </w:r>
    </w:p>
    <w:p>
      <w:pPr>
        <w:pStyle w:val="Heading2"/>
      </w:pPr>
      <w:r>
        <w:t>6. SORUMLULUKLAR</w:t>
      </w:r>
    </w:p>
    <w:p>
      <w:r>
        <w:t>- Çevre Mühendisi: İzleme, kayıt, raporlama</w:t>
      </w:r>
    </w:p>
    <w:p>
      <w:r>
        <w:t>- Alt Yükleniciler: Formların doldurulması</w:t>
      </w:r>
    </w:p>
    <w:p>
      <w:r>
        <w:t>- Saha Şefi: Uygunsuzluk yönetimi</w:t>
      </w:r>
    </w:p>
    <w:p>
      <w:r>
        <w:t>- Üst Yönetim: Onay ve kaynak sağlama</w:t>
      </w:r>
    </w:p>
    <w:p>
      <w:pPr>
        <w:pStyle w:val="Heading2"/>
      </w:pPr>
      <w:r>
        <w:t>7. RAPORLAMA</w:t>
      </w:r>
    </w:p>
    <w:p>
      <w:r>
        <w:t>Aylık çevresel izleme raporu hazırlanır ve tüm FR formlarından gelen verilerle KPI tablosu oluşturulur. Rapor üst yönetime sunulur ve Dünya Bankası raporlamasına entegre edilir.</w:t>
      </w:r>
    </w:p>
    <w:p>
      <w:pPr>
        <w:pStyle w:val="Heading2"/>
      </w:pPr>
      <w:r>
        <w:t>8. PLANIN GÖZDEN GEÇİRİLMESİ</w:t>
      </w:r>
    </w:p>
    <w:p>
      <w:r>
        <w:t>Bu plan yılda bir kez gözden geçirilir. Mevzuat değişikliği veya saha koşullarındaki değişikliklerde revize edilir.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