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r>
              <w:t>Doküman Kodu:</w:t>
            </w:r>
          </w:p>
        </w:tc>
        <w:tc>
          <w:tcPr>
            <w:tcW w:type="dxa" w:w="4320"/>
          </w:tcPr>
          <w:p>
            <w:r>
              <w:t>INO-TACF-WI03</w:t>
            </w:r>
          </w:p>
        </w:tc>
      </w:tr>
      <w:tr>
        <w:tc>
          <w:tcPr>
            <w:tcW w:type="dxa" w:w="4320"/>
          </w:tcPr>
          <w:p>
            <w:r>
              <w:t>Revizyon:</w:t>
            </w:r>
          </w:p>
        </w:tc>
        <w:tc>
          <w:tcPr>
            <w:tcW w:type="dxa" w:w="4320"/>
          </w:tcPr>
          <w:p>
            <w:r>
              <w:t>00</w:t>
            </w:r>
          </w:p>
        </w:tc>
      </w:tr>
      <w:tr>
        <w:tc>
          <w:tcPr>
            <w:tcW w:type="dxa" w:w="4320"/>
          </w:tcPr>
          <w:p>
            <w:r>
              <w:t>Tarih:</w:t>
            </w:r>
          </w:p>
        </w:tc>
        <w:tc>
          <w:tcPr>
            <w:tcW w:type="dxa" w:w="4320"/>
          </w:tcPr>
          <w:p>
            <w:r>
              <w:t>2025</w:t>
            </w:r>
          </w:p>
        </w:tc>
      </w:tr>
    </w:tbl>
    <w:p>
      <w:pPr>
        <w:pStyle w:val="Heading1"/>
        <w:jc w:val="center"/>
      </w:pPr>
      <w:r>
        <w:t>WI-03 TEHLİKELİ MADDE DEPOLAMA VE SIZINTI YÖNETİMİ TALİMATI</w:t>
      </w:r>
    </w:p>
    <w:p>
      <w:pPr>
        <w:pStyle w:val="Heading2"/>
      </w:pPr>
      <w:r>
        <w:t>1. AMAÇ</w:t>
      </w:r>
    </w:p>
    <w:p>
      <w:r>
        <w:t>Bu talimat; Karapınar 500 MW GES şantiyesinde kullanılan ve oluşan tehlikeli maddelerin Tehlikeli Maddelerin Karayoluyla Taşınması Hakkında Yönetmelik, Atık Yönetimi Yönetmeliği, Kimyasal Maddelerle Çalışma Yönetmeliği, ISO 14001 ve Dünya Bankası ESS3 gerekliliklerine uygun şekilde depolanması, taşınması, etiketlenmesi ve sızıntı–dökülme durumlarında izlenecek adımların tanımlanması amacıyla hazırlanmıştır.</w:t>
      </w:r>
    </w:p>
    <w:p>
      <w:pPr>
        <w:pStyle w:val="Heading2"/>
      </w:pPr>
      <w:r>
        <w:t>2. KAPSAM</w:t>
      </w:r>
    </w:p>
    <w:p>
      <w:r>
        <w:t>Bu talimat; yağlar, solventler, yakıtlar, boya kutuları, kimyasal karışımlar ve tehlikeli atıkların depolanması, taşınması ve dökülme–sızıntı müdahale süreçlerini kapsar. Tüm şantiye, atölye, depolar ve alt yüklenici faaliyetleri dahildir.</w:t>
      </w:r>
    </w:p>
    <w:p>
      <w:pPr>
        <w:pStyle w:val="Heading2"/>
      </w:pPr>
      <w:r>
        <w:t>3. DAYANAK ve İLGİLİ DOKÜMANLAR</w:t>
      </w:r>
    </w:p>
    <w:p>
      <w:r>
        <w:t>Mevzuat:</w:t>
      </w:r>
    </w:p>
    <w:p>
      <w:r>
        <w:t>- Atık Yönetimi Yönetmeliği</w:t>
      </w:r>
    </w:p>
    <w:p>
      <w:r>
        <w:t>- Tehlikeli Maddelerin Karayoluyla Taşınması Yönetmeliği</w:t>
      </w:r>
    </w:p>
    <w:p>
      <w:r>
        <w:t>- Kimyasal Maddelerle Çalışma Yönetmeliği</w:t>
      </w:r>
    </w:p>
    <w:p>
      <w:r>
        <w:t>- Büyük Endüstriyel Kazaların Kontrolü Hakkında Yönetmelik</w:t>
      </w:r>
    </w:p>
    <w:p/>
    <w:p>
      <w:r>
        <w:t>Standartlar:</w:t>
      </w:r>
    </w:p>
    <w:p>
      <w:r>
        <w:t>- ISO 14001 Operasyonel Kontrol</w:t>
      </w:r>
    </w:p>
    <w:p>
      <w:r>
        <w:t>- ISO 45001 İş Sağlığı ve Güvenliği</w:t>
      </w:r>
    </w:p>
    <w:p>
      <w:r>
        <w:t>- ESS3 Pollution Prevention</w:t>
      </w:r>
    </w:p>
    <w:p/>
    <w:p>
      <w:r>
        <w:t>İlgili ÇYS Dokümanları:</w:t>
      </w:r>
    </w:p>
    <w:p>
      <w:r>
        <w:t>- ÇYS-PR10 Atık Yönetimi Prosedürü</w:t>
      </w:r>
    </w:p>
    <w:p>
      <w:r>
        <w:t>- ÇYS-PR16 Toprak Kirliliği Prosedürü</w:t>
      </w:r>
    </w:p>
    <w:p>
      <w:r>
        <w:t>- ÇYS-PR22 Acil Durum Prosedürü</w:t>
      </w:r>
    </w:p>
    <w:p>
      <w:r>
        <w:t>- PL01 Atık Yönetim Planı</w:t>
      </w:r>
    </w:p>
    <w:p>
      <w:r>
        <w:t>- PL06 Acil Durum Planı</w:t>
      </w:r>
    </w:p>
    <w:p>
      <w:r>
        <w:t>- FR24 Toprak Kirliliği Olay Formu</w:t>
      </w:r>
    </w:p>
    <w:p>
      <w:r>
        <w:t>- FR27 Çevresel Olay Bildirim Formu</w:t>
      </w:r>
    </w:p>
    <w:p>
      <w:r>
        <w:t>- FR21 5S Temizlik Formu</w:t>
      </w:r>
    </w:p>
    <w:p/>
    <w:p>
      <w:pPr>
        <w:pStyle w:val="Heading2"/>
      </w:pPr>
      <w:r>
        <w:t>4. TANIMLAR</w:t>
      </w:r>
    </w:p>
    <w:p>
      <w:r>
        <w:t>- Tehlikeli Madde: Patlayıcı, oksitleyici, aşındırıcı, toksik, yanıcı, çevre için zararlı madde.</w:t>
      </w:r>
    </w:p>
    <w:p>
      <w:r>
        <w:t>- Sızıntı/Dökülme: Tehlikeli maddenin kontrolsüz şekilde dış ortama yayılması.</w:t>
      </w:r>
    </w:p>
    <w:p>
      <w:r>
        <w:t>- Depolama Alanı: Zemin sızdırmazlığı sağlanmış, tabelalandırılmış, kapalı veya yarı kapalı alan.</w:t>
      </w:r>
    </w:p>
    <w:p/>
    <w:p>
      <w:pPr>
        <w:pStyle w:val="Heading2"/>
      </w:pPr>
      <w:r>
        <w:t>5. SORUMLULUKLAR</w:t>
      </w:r>
    </w:p>
    <w:p>
      <w:r>
        <w:t>- Çevre Mühendisi:</w:t>
      </w:r>
    </w:p>
    <w:p>
      <w:r>
        <w:t xml:space="preserve">  • Tehlikeli madde depolama alanlarını kontrol eder.</w:t>
      </w:r>
    </w:p>
    <w:p>
      <w:r>
        <w:t xml:space="preserve">  • FR24 ve FR27 formlarının takibini yapar.</w:t>
      </w:r>
    </w:p>
    <w:p/>
    <w:p>
      <w:r>
        <w:t>- Depo Sorumlusu:</w:t>
      </w:r>
    </w:p>
    <w:p>
      <w:r>
        <w:t xml:space="preserve">  • Tehlikeli maddelerin doğru etiketlenmesini ve düzenli depolanmasını sağlar.</w:t>
      </w:r>
    </w:p>
    <w:p/>
    <w:p>
      <w:r>
        <w:t>- Çalışanlar:</w:t>
      </w:r>
    </w:p>
    <w:p>
      <w:r>
        <w:t xml:space="preserve">  • Sızıntı durumunda acil müdahale adımlarını uygular.</w:t>
      </w:r>
    </w:p>
    <w:p/>
    <w:p>
      <w:pPr>
        <w:pStyle w:val="Heading2"/>
      </w:pPr>
      <w:r>
        <w:t>6. UYGULAMA ADIMLARI</w:t>
      </w:r>
    </w:p>
    <w:p>
      <w:r>
        <w:t>6.1 Depolama Kuralları</w:t>
      </w:r>
    </w:p>
    <w:p>
      <w:r>
        <w:t>- Tehlikeli maddeler kırmızı amblemli raflarda saklanır.</w:t>
      </w:r>
    </w:p>
    <w:p>
      <w:r>
        <w:t>- Zemin beton, sızdırmaz ve kimyasala dayanıklı olmalıdır.</w:t>
      </w:r>
    </w:p>
    <w:p>
      <w:r>
        <w:t>- Kapaklar sürekli kapalı tutulur.</w:t>
      </w:r>
    </w:p>
    <w:p>
      <w:r>
        <w:t>- Kimyasallar MSDS bilgilerine göre depolanır.</w:t>
      </w:r>
    </w:p>
    <w:p/>
    <w:p>
      <w:r>
        <w:t>6.2 Etiketleme</w:t>
      </w:r>
    </w:p>
    <w:p>
      <w:r>
        <w:t>- Ürün adı</w:t>
      </w:r>
    </w:p>
    <w:p>
      <w:r>
        <w:t>- Tehlike sembolü (GHS)</w:t>
      </w:r>
    </w:p>
    <w:p>
      <w:r>
        <w:t>- Son kullanım tarihi</w:t>
      </w:r>
    </w:p>
    <w:p>
      <w:r>
        <w:t>- Sorumlu kişi</w:t>
      </w:r>
    </w:p>
    <w:p/>
    <w:p>
      <w:r>
        <w:t>6.3 Uygunsuz Kimyasallar</w:t>
      </w:r>
    </w:p>
    <w:p>
      <w:r>
        <w:t>- Kabı hasarlı, etiketi olmayan kimyasallar kullanılmaz; Çevre Birimi bilgilendirilir.</w:t>
      </w:r>
    </w:p>
    <w:p/>
    <w:p>
      <w:r>
        <w:t>6.4 Sızıntı–Dökülme Müdahalesi</w:t>
      </w:r>
    </w:p>
    <w:p>
      <w:r>
        <w:t>- Alan güvenlik şeridiyle kapatılır.</w:t>
      </w:r>
    </w:p>
    <w:p>
      <w:r>
        <w:t>- Kaynağı kesilir.</w:t>
      </w:r>
    </w:p>
    <w:p>
      <w:r>
        <w:t>- Absorban malzeme uygulanır.</w:t>
      </w:r>
    </w:p>
    <w:p>
      <w:r>
        <w:t>- Toplanan malzeme tehlikeli atık olarak kırmızı konteynere alınır.</w:t>
      </w:r>
    </w:p>
    <w:p>
      <w:r>
        <w:t>- FR24 ve FR27 formları doldurulur.</w:t>
      </w:r>
    </w:p>
    <w:p>
      <w:r>
        <w:t>- Büyük döküntü durumunda PL06 devreye alınır.</w:t>
      </w:r>
    </w:p>
    <w:p/>
    <w:p>
      <w:r>
        <w:t>6.5 Temizlik</w:t>
      </w:r>
    </w:p>
    <w:p>
      <w:r>
        <w:t>- 5S prensiplerine göre FR21 ile kontrol edilir.</w:t>
      </w:r>
    </w:p>
    <w:p/>
    <w:p>
      <w:pPr>
        <w:pStyle w:val="Heading2"/>
      </w:pPr>
      <w:r>
        <w:t>7. KONTROL ve İZLEME</w:t>
      </w:r>
    </w:p>
    <w:p>
      <w:r>
        <w:t>- Depo kontrolleri haftalık yapılır.</w:t>
      </w:r>
    </w:p>
    <w:p>
      <w:r>
        <w:t>- Etiket ve kapak kontrolleri günlük yapılır.</w:t>
      </w:r>
    </w:p>
    <w:p>
      <w:r>
        <w:t>- Sızıntı kitleri aylık olarak kontrol edilir.</w:t>
      </w:r>
    </w:p>
    <w:p>
      <w:pPr>
        <w:pStyle w:val="Heading2"/>
      </w:pPr>
      <w:r>
        <w:t>8. UYGUNSUZLUKLAR ve DÖF</w:t>
      </w:r>
    </w:p>
    <w:p>
      <w:r>
        <w:t>- Etiketsiz ürün → depodan kaldırılır.</w:t>
      </w:r>
    </w:p>
    <w:p>
      <w:r>
        <w:t>- Sızıntı tespit edildi → FR24 ile kayıt alınır.</w:t>
      </w:r>
    </w:p>
    <w:p>
      <w:r>
        <w:t>- Kritik durumda acil durum tetiklenir (PL06).</w:t>
      </w:r>
    </w:p>
    <w:p/>
    <w:p>
      <w:pPr>
        <w:pStyle w:val="Heading2"/>
      </w:pPr>
      <w:r>
        <w:t>9. REVİZYON KAYDI</w:t>
      </w:r>
    </w:p>
    <w:p>
      <w:r>
        <w:t>Bu alan güncel revizyonlarda doldurulacaktır.</w:t>
      </w:r>
    </w:p>
    <w:tbl>
      <w:tblPr>
        <w:tblStyle w:val="TableGrid"/>
        <w:tblW w:type="auto" w:w="0"/>
        <w:tblLook w:firstColumn="1" w:firstRow="1" w:lastColumn="0" w:lastRow="0" w:noHBand="0" w:noVBand="1" w:val="04A0"/>
      </w:tblPr>
      <w:tblGrid>
        <w:gridCol w:w="2880"/>
        <w:gridCol w:w="2880"/>
        <w:gridCol w:w="2880"/>
      </w:tblGrid>
      <w:tr>
        <w:tc>
          <w:tcPr>
            <w:tcW w:type="dxa" w:w="2880"/>
          </w:tcPr>
          <w:p>
            <w:r>
              <w:t>Revizyon No</w:t>
            </w:r>
          </w:p>
        </w:tc>
        <w:tc>
          <w:tcPr>
            <w:tcW w:type="dxa" w:w="2880"/>
          </w:tcPr>
          <w:p>
            <w:r>
              <w:t>Tarih</w:t>
            </w:r>
          </w:p>
        </w:tc>
        <w:tc>
          <w:tcPr>
            <w:tcW w:type="dxa" w:w="2880"/>
          </w:tcPr>
          <w:p>
            <w:r>
              <w:t>Açıklama</w:t>
            </w:r>
          </w:p>
        </w:tc>
      </w:tr>
      <w:tr>
        <w:tc>
          <w:tcPr>
            <w:tcW w:type="dxa" w:w="2880"/>
          </w:tcPr>
          <w:p>
            <w:r>
              <w:t>00</w:t>
            </w:r>
          </w:p>
        </w:tc>
        <w:tc>
          <w:tcPr>
            <w:tcW w:type="dxa" w:w="2880"/>
          </w:tcPr>
          <w:p>
            <w:r>
              <w:t>2025</w:t>
            </w:r>
          </w:p>
        </w:tc>
        <w:tc>
          <w:tcPr>
            <w:tcW w:type="dxa" w:w="2880"/>
          </w:tcPr>
          <w:p>
            <w:r>
              <w:t>İlk yayın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