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INO-TACF-WI16</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WI-16 GÜRÜLTÜ VE TİTREŞİM YÖNETİM TALİMATI</w:t>
      </w:r>
    </w:p>
    <w:p>
      <w:pPr>
        <w:pStyle w:val="Heading2"/>
      </w:pPr>
      <w:r>
        <w:t>1. AMAÇ</w:t>
      </w:r>
    </w:p>
    <w:p>
      <w:r>
        <w:t>Bu talimat; Karapınar 500 MW GES kurulum sahasında oluşan gürültü ve titreşim kaynaklarının Türkiye çevre mevzuatı, Gürültü Kontrol Yönetmeliği, ISO 14001 ve Dünya Bankası ESS3 standartlarına uygun olarak yönetilmesini, çalışan sağlığının korunmasını ve çevresel etkilerin azaltılmasını sağlamak amacıyla hazırlanmıştır.</w:t>
      </w:r>
    </w:p>
    <w:p>
      <w:pPr>
        <w:pStyle w:val="Heading2"/>
      </w:pPr>
      <w:r>
        <w:t>2. KAPSAM</w:t>
      </w:r>
    </w:p>
    <w:p>
      <w:r>
        <w:t>İnşaat makineleri, kazı-dolgu faaliyetleri, jeneratörler, taşıma faaliyetleri, kırıcılar ve gürültü-titreşim üreten tüm ekipmanları kapsar.</w:t>
      </w:r>
    </w:p>
    <w:p>
      <w:pPr>
        <w:pStyle w:val="Heading2"/>
      </w:pPr>
      <w:r>
        <w:t>3. DAYANAK ve İLGİLİ DOKÜMANLAR</w:t>
      </w:r>
    </w:p>
    <w:p>
      <w:r>
        <w:t>Mevzuat:</w:t>
      </w:r>
    </w:p>
    <w:p>
      <w:r>
        <w:t>- Çevresel Gürültünün Değerlendirilmesi ve Yönetimi Yönetmeliği</w:t>
      </w:r>
    </w:p>
    <w:p>
      <w:r>
        <w:t>- Titreşim Yönetmeliği</w:t>
      </w:r>
    </w:p>
    <w:p>
      <w:r>
        <w:t>- Çevre Kanunu</w:t>
      </w:r>
    </w:p>
    <w:p/>
    <w:p>
      <w:r>
        <w:t>Standartlar:</w:t>
      </w:r>
    </w:p>
    <w:p>
      <w:r>
        <w:t>- ISO 14001 Operasyonel Kontrol</w:t>
      </w:r>
    </w:p>
    <w:p>
      <w:r>
        <w:t>- ESS2 Labor Working Conditions</w:t>
      </w:r>
    </w:p>
    <w:p>
      <w:r>
        <w:t>- ESS3 Pollution Prevention</w:t>
      </w:r>
    </w:p>
    <w:p/>
    <w:p>
      <w:r>
        <w:t>ÇYS Dokümanları:</w:t>
      </w:r>
    </w:p>
    <w:p>
      <w:r>
        <w:t>- PR07 Operasyonel Kontrol Prosedürü</w:t>
      </w:r>
    </w:p>
    <w:p>
      <w:r>
        <w:t>- PR09 İSG Entegrasyon Prosedürü</w:t>
      </w:r>
    </w:p>
    <w:p>
      <w:r>
        <w:t>- PL08 Çevresel İzleme Planı</w:t>
      </w:r>
    </w:p>
    <w:p>
      <w:r>
        <w:t>- FR23 Gürültü Ölçüm Formu</w:t>
      </w:r>
    </w:p>
    <w:p>
      <w:pPr>
        <w:pStyle w:val="Heading2"/>
      </w:pPr>
      <w:r>
        <w:t>4. TANIMLAR</w:t>
      </w:r>
    </w:p>
    <w:p>
      <w:r>
        <w:t>- Gürültü: İnsan sağlığını ve çevreyi olumsuz etkileyen istenmeyen ses.</w:t>
      </w:r>
    </w:p>
    <w:p>
      <w:r>
        <w:t>- Titreşim: Çalışan veya ekipman üzerinde tekrarlı mekanik titreşim etkisi.</w:t>
      </w:r>
    </w:p>
    <w:p>
      <w:r>
        <w:t>- Sınır Değer: Yönetmelikte belirtilen maksimum gürültü seviyesi.</w:t>
      </w:r>
    </w:p>
    <w:p>
      <w:pPr>
        <w:pStyle w:val="Heading2"/>
      </w:pPr>
      <w:r>
        <w:t>5. SORUMLULUKLAR</w:t>
      </w:r>
    </w:p>
    <w:p>
      <w:r>
        <w:t>- Çevre Mühendisi:</w:t>
      </w:r>
    </w:p>
    <w:p>
      <w:r>
        <w:t xml:space="preserve">  • Gürültü ölçümlerini planlar ve uygular.</w:t>
      </w:r>
    </w:p>
    <w:p>
      <w:r>
        <w:t xml:space="preserve">  • Uygunsuzluk durumunda FR23 doldurur.</w:t>
      </w:r>
    </w:p>
    <w:p/>
    <w:p>
      <w:r>
        <w:t>- Saha Şefi:</w:t>
      </w:r>
    </w:p>
    <w:p>
      <w:r>
        <w:t xml:space="preserve">  • Çalışma saatlerini sınır değerlere uygun yönetir.</w:t>
      </w:r>
    </w:p>
    <w:p>
      <w:r>
        <w:t xml:space="preserve">  • İzolasyon, bariyer ve mesafe önlemlerini uygular.</w:t>
      </w:r>
    </w:p>
    <w:p/>
    <w:p>
      <w:r>
        <w:t>- Operatörler:</w:t>
      </w:r>
    </w:p>
    <w:p>
      <w:r>
        <w:t xml:space="preserve">  • Gürültü problemi fark edilirse bildirir.</w:t>
      </w:r>
    </w:p>
    <w:p>
      <w:r>
        <w:t xml:space="preserve">  • Makine ekipman arızalarını rapor eder.</w:t>
      </w:r>
    </w:p>
    <w:p>
      <w:pPr>
        <w:pStyle w:val="Heading2"/>
      </w:pPr>
      <w:r>
        <w:t>6. UYGULAMA ADIMLARI</w:t>
      </w:r>
    </w:p>
    <w:p>
      <w:r>
        <w:t>6.1 Gürültü Kaynaklarının Yönetimi</w:t>
      </w:r>
    </w:p>
    <w:p>
      <w:r>
        <w:t>- Jeneratörler ses bariyeri veya kabin içinde çalıştırılır.</w:t>
      </w:r>
    </w:p>
    <w:p>
      <w:r>
        <w:t>- Kırıcı, delici ekipmanlar minimum sürede kullanılır.</w:t>
      </w:r>
    </w:p>
    <w:p>
      <w:r>
        <w:t>- Gürültülü işler gündüz saatlerinde yapılır.</w:t>
      </w:r>
    </w:p>
    <w:p/>
    <w:p>
      <w:r>
        <w:t>6.2 Titreşim Yönetimi</w:t>
      </w:r>
    </w:p>
    <w:p>
      <w:r>
        <w:t>- Titreşimli el aletleri periyodik bakıma alınır.</w:t>
      </w:r>
    </w:p>
    <w:p>
      <w:r>
        <w:t>- Çalışan titreşime maruz kalma süreleri sınırlandırılır.</w:t>
      </w:r>
    </w:p>
    <w:p>
      <w:r>
        <w:t>- Eldiven, izolasyon pedleri kullanılır.</w:t>
      </w:r>
    </w:p>
    <w:p/>
    <w:p>
      <w:r>
        <w:t>6.3 Saha Düzenlemeleri</w:t>
      </w:r>
    </w:p>
    <w:p>
      <w:r>
        <w:t>- Gürültü kaynağı ile çalışanlar arasında güvenli mesafe oluşturulur.</w:t>
      </w:r>
    </w:p>
    <w:p>
      <w:r>
        <w:t>- Bariyer, yalıtım malzemesi ve pano kullanılır.</w:t>
      </w:r>
    </w:p>
    <w:p/>
    <w:p>
      <w:r>
        <w:t>6.4 İzleme</w:t>
      </w:r>
    </w:p>
    <w:p>
      <w:r>
        <w:t>- Gürültü ölçümü FR23 formuna işlenir.</w:t>
      </w:r>
    </w:p>
    <w:p>
      <w:r>
        <w:t>- Sınır değer aşımı olursa faaliyet durdurulur.</w:t>
      </w:r>
    </w:p>
    <w:p>
      <w:r>
        <w:t>- Aylık raporlamalar PL08 kapsamında yapılır.</w:t>
      </w:r>
    </w:p>
    <w:p/>
    <w:p>
      <w:r>
        <w:t>6.5 KKD Kullanımı</w:t>
      </w:r>
    </w:p>
    <w:p>
      <w:r>
        <w:t>- Kulak tıkacı veya kulaklık zorunludur.</w:t>
      </w:r>
    </w:p>
    <w:p>
      <w:r>
        <w:t>- Uzun süreli çalışmalarda gürültü seviyesine uygun SNR değeri seçilir.</w:t>
      </w:r>
    </w:p>
    <w:p>
      <w:pPr>
        <w:pStyle w:val="Heading2"/>
      </w:pPr>
      <w:r>
        <w:t>7. KONTROL VE İZLEME</w:t>
      </w:r>
    </w:p>
    <w:p>
      <w:r>
        <w:t>- Periyodik gürültü ölçümleri yapılır.</w:t>
      </w:r>
    </w:p>
    <w:p>
      <w:r>
        <w:t>- Titreşimli ekipman bakım kayıtları takip edilir.</w:t>
      </w:r>
    </w:p>
    <w:p>
      <w:r>
        <w:t>- Çevresel şikayetler kayıt altına alınır.</w:t>
      </w:r>
    </w:p>
    <w:p>
      <w:pPr>
        <w:pStyle w:val="Heading2"/>
      </w:pPr>
      <w:r>
        <w:t>8. UYGUNSUZLUK VE DÖF</w:t>
      </w:r>
    </w:p>
    <w:p>
      <w:r>
        <w:t>- Sınır değer aşımı → Gürültü kaynağı durdurulur.</w:t>
      </w:r>
    </w:p>
    <w:p>
      <w:r>
        <w:t>- Uygun olmayan bariyer kullanımı → DÖF açılır.</w:t>
      </w:r>
    </w:p>
    <w:p>
      <w:r>
        <w:t>- Makine arızası → Bakım birimine bildirilir.</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