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Doküman Kodu:</w:t>
            </w:r>
          </w:p>
        </w:tc>
        <w:tc>
          <w:tcPr>
            <w:tcW w:type="dxa" w:w="4320"/>
          </w:tcPr>
          <w:p>
            <w:r>
              <w:t>INO-TACF-WI29</w:t>
            </w:r>
          </w:p>
        </w:tc>
      </w:tr>
      <w:tr>
        <w:tc>
          <w:tcPr>
            <w:tcW w:type="dxa" w:w="4320"/>
          </w:tcPr>
          <w:p>
            <w:r>
              <w:t>Revizyon:</w:t>
            </w:r>
          </w:p>
        </w:tc>
        <w:tc>
          <w:tcPr>
            <w:tcW w:type="dxa" w:w="4320"/>
          </w:tcPr>
          <w:p>
            <w:r>
              <w:t>00</w:t>
            </w:r>
          </w:p>
        </w:tc>
      </w:tr>
      <w:tr>
        <w:tc>
          <w:tcPr>
            <w:tcW w:type="dxa" w:w="4320"/>
          </w:tcPr>
          <w:p>
            <w:r>
              <w:t>Tarih:</w:t>
            </w:r>
          </w:p>
        </w:tc>
        <w:tc>
          <w:tcPr>
            <w:tcW w:type="dxa" w:w="4320"/>
          </w:tcPr>
          <w:p>
            <w:r>
              <w:t>2025</w:t>
            </w:r>
          </w:p>
        </w:tc>
      </w:tr>
    </w:tbl>
    <w:p>
      <w:pPr>
        <w:pStyle w:val="Heading1"/>
        <w:jc w:val="center"/>
      </w:pPr>
      <w:r>
        <w:t>WI-29 TOZ EMİSYON KONTROL TALİMATI</w:t>
      </w:r>
    </w:p>
    <w:p>
      <w:pPr>
        <w:pStyle w:val="Heading2"/>
      </w:pPr>
      <w:r>
        <w:t>1. AMAÇ</w:t>
      </w:r>
    </w:p>
    <w:p>
      <w:r>
        <w:t>Bu talimat; Karapınar 500 MW GES kurulum sahasında kazı, dolgu, yol yapımı, taşıma ve genel saha hareketleri sırasında oluşabilecek toz emisyonlarını kontrol altına almak, çevresel etkileri azaltmak ve çalışan sağlığını korumak amacıyla hazırlanmıştır. Talimat ISO 14001, ESS3 ve Hava Kalitesi Yönetmelikleri ile uyumludur.</w:t>
      </w:r>
    </w:p>
    <w:p>
      <w:pPr>
        <w:pStyle w:val="Heading2"/>
      </w:pPr>
      <w:r>
        <w:t>2. KAPSAM</w:t>
      </w:r>
    </w:p>
    <w:p>
      <w:r>
        <w:t>Tüm hafriyat, kazı, taşıma, yol yapımı, malzeme boşaltma, stoklama ve şantiye araç trafiği faaliyetleri bu talimat kapsamındadır.</w:t>
      </w:r>
    </w:p>
    <w:p>
      <w:pPr>
        <w:pStyle w:val="Heading2"/>
      </w:pPr>
      <w:r>
        <w:t>3. DAYANAK ve İLGİLİ DOKÜMANLAR</w:t>
      </w:r>
    </w:p>
    <w:p>
      <w:r>
        <w:t>Mevzuat:</w:t>
      </w:r>
    </w:p>
    <w:p>
      <w:r>
        <w:t>- Hava Kalitesi Değerlendirme ve Yönetimi Yönetmeliği</w:t>
      </w:r>
    </w:p>
    <w:p>
      <w:r>
        <w:t>- Tozla Mücadele Yönetmeliği</w:t>
      </w:r>
    </w:p>
    <w:p>
      <w:r>
        <w:t>- Çevre Kanunu</w:t>
      </w:r>
    </w:p>
    <w:p/>
    <w:p>
      <w:r>
        <w:t>Standartlar:</w:t>
      </w:r>
    </w:p>
    <w:p>
      <w:r>
        <w:t>- ISO 14001 Operasyonel Kontrol</w:t>
      </w:r>
    </w:p>
    <w:p>
      <w:r>
        <w:t>- ESS3 Pollution Prevention</w:t>
      </w:r>
    </w:p>
    <w:p/>
    <w:p>
      <w:r>
        <w:t>ÇYS Dokümanları:</w:t>
      </w:r>
    </w:p>
    <w:p>
      <w:r>
        <w:t>- PR07 Operasyonel Kontrol Prosedürü</w:t>
      </w:r>
    </w:p>
    <w:p>
      <w:r>
        <w:t>- PL08 Çevresel İzleme Planı</w:t>
      </w:r>
    </w:p>
    <w:p>
      <w:r>
        <w:t>- FR30 Toz İzleme Formu</w:t>
      </w:r>
    </w:p>
    <w:p>
      <w:r>
        <w:t>- FR27 Olay Bildirim Formu</w:t>
      </w:r>
    </w:p>
    <w:p>
      <w:pPr>
        <w:pStyle w:val="Heading2"/>
      </w:pPr>
      <w:r>
        <w:t>4. TANIMLAR</w:t>
      </w:r>
    </w:p>
    <w:p>
      <w:r>
        <w:t>- Toz Emisyonu: İnşaat faaliyetleri sırasında havaya karışan partikül maddeler.</w:t>
      </w:r>
    </w:p>
    <w:p>
      <w:r>
        <w:t>- PM10: 10 mikron ve altındaki partiküller.</w:t>
      </w:r>
    </w:p>
    <w:p>
      <w:r>
        <w:t>- Yol Sulaması: Toz bastırmak için su tankeri ile yapılan sulama faaliyetidir.</w:t>
      </w:r>
    </w:p>
    <w:p>
      <w:pPr>
        <w:pStyle w:val="Heading2"/>
      </w:pPr>
      <w:r>
        <w:t>5. SORUMLULUKLAR</w:t>
      </w:r>
    </w:p>
    <w:p>
      <w:r>
        <w:t>- Çevre Mühendisi:</w:t>
      </w:r>
    </w:p>
    <w:p>
      <w:r>
        <w:t xml:space="preserve">  • Toz izleme çalışmalarını yürütür.</w:t>
      </w:r>
    </w:p>
    <w:p>
      <w:r>
        <w:t xml:space="preserve">  • FR30 formunu doldurur.</w:t>
      </w:r>
    </w:p>
    <w:p>
      <w:r>
        <w:t xml:space="preserve">  • Limit aşımında DÖF açar.</w:t>
      </w:r>
    </w:p>
    <w:p/>
    <w:p>
      <w:r>
        <w:t>- Saha Şefi:</w:t>
      </w:r>
    </w:p>
    <w:p>
      <w:r>
        <w:t xml:space="preserve">  • Günlük yol sulamasını organize eder.</w:t>
      </w:r>
    </w:p>
    <w:p/>
    <w:p>
      <w:r>
        <w:t>- Operatörler:</w:t>
      </w:r>
    </w:p>
    <w:p>
      <w:r>
        <w:t xml:space="preserve">  • Talimatlara uygun çalışır ve toz azaltıcı yöntemleri uygular.</w:t>
      </w:r>
    </w:p>
    <w:p>
      <w:pPr>
        <w:pStyle w:val="Heading2"/>
      </w:pPr>
      <w:r>
        <w:t>6. UYGULAMA ADIMLARI</w:t>
      </w:r>
    </w:p>
    <w:p>
      <w:r>
        <w:t>6.1 Yol Sulama Programı</w:t>
      </w:r>
    </w:p>
    <w:p>
      <w:r>
        <w:t>- Kuru havalarda günde en az 3 kez sulama yapılır.</w:t>
      </w:r>
    </w:p>
    <w:p>
      <w:r>
        <w:t>- Rüzgarlı havalarda sıklık artırılır.</w:t>
      </w:r>
    </w:p>
    <w:p/>
    <w:p>
      <w:r>
        <w:t>6.2 Hafriyat ve Kazı Çalışmaları</w:t>
      </w:r>
    </w:p>
    <w:p>
      <w:r>
        <w:t>- Hafriyat sırasında su püskürtme yapılır.</w:t>
      </w:r>
    </w:p>
    <w:p>
      <w:r>
        <w:t>- Malzeme kamyona yüksekten dökülmez.</w:t>
      </w:r>
    </w:p>
    <w:p/>
    <w:p>
      <w:r>
        <w:t>6.3 Şantiye Trafik Yönetimi</w:t>
      </w:r>
    </w:p>
    <w:p>
      <w:r>
        <w:t>- Kamyon hız limiti 20 km/s.</w:t>
      </w:r>
    </w:p>
    <w:p>
      <w:r>
        <w:t>- Trafik yoğunluğu minimize edilir.</w:t>
      </w:r>
    </w:p>
    <w:p/>
    <w:p>
      <w:r>
        <w:t>6.4 Stok ve Depolama Alanları</w:t>
      </w:r>
    </w:p>
    <w:p>
      <w:r>
        <w:t>- Stok malzemeleri branda ile örtülür.</w:t>
      </w:r>
    </w:p>
    <w:p>
      <w:r>
        <w:t>- Dökme malzeme açıkta bırakılmaz.</w:t>
      </w:r>
    </w:p>
    <w:p/>
    <w:p>
      <w:r>
        <w:t>6.5 Toz Ölçümleri</w:t>
      </w:r>
    </w:p>
    <w:p>
      <w:r>
        <w:t>- Aylık PM10 ölçümü yapılır.</w:t>
      </w:r>
    </w:p>
    <w:p>
      <w:r>
        <w:t>- FR30 formuna kaydedilir.</w:t>
      </w:r>
    </w:p>
    <w:p>
      <w:pPr>
        <w:pStyle w:val="Heading2"/>
      </w:pPr>
      <w:r>
        <w:t>7. KONTROL ve İZLEME</w:t>
      </w:r>
    </w:p>
    <w:p>
      <w:r>
        <w:t>- Günlük yol sulama kontrolü yapılır.</w:t>
      </w:r>
    </w:p>
    <w:p>
      <w:r>
        <w:t>- Toz şikayetleri incelenir ve raporlanır.</w:t>
      </w:r>
    </w:p>
    <w:p>
      <w:pPr>
        <w:pStyle w:val="Heading2"/>
      </w:pPr>
      <w:r>
        <w:t>8. UYGUNSUZLUK ve DÖF</w:t>
      </w:r>
    </w:p>
    <w:p>
      <w:r>
        <w:t>- Yetersiz sulama → DÖF açılır.</w:t>
      </w:r>
    </w:p>
    <w:p>
      <w:r>
        <w:t>- Toz limit aşımı → Artırılmış sulama + raporlama.</w:t>
      </w:r>
    </w:p>
    <w:p>
      <w:r>
        <w:t>- Kurallara uyulmaması → Eğitim + uyarı.</w:t>
      </w:r>
    </w:p>
    <w:p>
      <w:pPr>
        <w:pStyle w:val="Heading2"/>
      </w:pPr>
      <w:r>
        <w:t>9. REVİZYON KAYDI</w:t>
      </w:r>
    </w:p>
    <w:p>
      <w:r>
        <w:t>Bu alan ilerleyen revizyonlarda doldurulacaktır.</w:t>
      </w:r>
    </w:p>
    <w:tbl>
      <w:tblPr>
        <w:tblStyle w:val="TableGrid"/>
        <w:tblW w:type="auto" w:w="0"/>
        <w:tblLook w:firstColumn="1" w:firstRow="1" w:lastColumn="0" w:lastRow="0" w:noHBand="0" w:noVBand="1" w:val="04A0"/>
      </w:tblPr>
      <w:tblGrid>
        <w:gridCol w:w="2880"/>
        <w:gridCol w:w="2880"/>
        <w:gridCol w:w="2880"/>
      </w:tblGrid>
      <w:tr>
        <w:tc>
          <w:tcPr>
            <w:tcW w:type="dxa" w:w="2880"/>
          </w:tcPr>
          <w:p>
            <w:r>
              <w:t>Revizyon No</w:t>
            </w:r>
          </w:p>
        </w:tc>
        <w:tc>
          <w:tcPr>
            <w:tcW w:type="dxa" w:w="2880"/>
          </w:tcPr>
          <w:p>
            <w:r>
              <w:t>Tarih</w:t>
            </w:r>
          </w:p>
        </w:tc>
        <w:tc>
          <w:tcPr>
            <w:tcW w:type="dxa" w:w="2880"/>
          </w:tcPr>
          <w:p>
            <w:r>
              <w:t>Açıklama</w:t>
            </w:r>
          </w:p>
        </w:tc>
      </w:tr>
      <w:tr>
        <w:tc>
          <w:tcPr>
            <w:tcW w:type="dxa" w:w="2880"/>
          </w:tcPr>
          <w:p>
            <w:r>
              <w:t>00</w:t>
            </w:r>
          </w:p>
        </w:tc>
        <w:tc>
          <w:tcPr>
            <w:tcW w:type="dxa" w:w="2880"/>
          </w:tcPr>
          <w:p>
            <w:r>
              <w:t>2025</w:t>
            </w:r>
          </w:p>
        </w:tc>
        <w:tc>
          <w:tcPr>
            <w:tcW w:type="dxa" w:w="2880"/>
          </w:tcPr>
          <w:p>
            <w:r>
              <w:t>İlk yayın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