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INO-TACF-WI30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WI-30 ATIK SAHASI GÜNLÜK KONTROL TALİMATI</w:t>
      </w:r>
    </w:p>
    <w:p>
      <w:pPr>
        <w:pStyle w:val="Heading2"/>
      </w:pPr>
      <w:r>
        <w:t>1. AMAÇ</w:t>
      </w:r>
    </w:p>
    <w:p>
      <w:r>
        <w:t>Bu talimat; Karapınar 500 MW GES kurulum sahasında yer alan geçici atık depolama alanlarının günlük olarak kontrol edilmesi, güvenli şekilde işletilmesi, çevre ve insan sağlığına yönelik risklerin önlenmesi amacıyla hazırlanmıştır.</w:t>
      </w:r>
    </w:p>
    <w:p>
      <w:pPr>
        <w:pStyle w:val="Heading2"/>
      </w:pPr>
      <w:r>
        <w:t>2. KAPSAM</w:t>
      </w:r>
    </w:p>
    <w:p>
      <w:r>
        <w:t>Tüm tehlikeli ve tehlikesiz atık geçici depolama alanları, atık konteynerleri, toplama kutuları, saha içi atık taşıma noktaları ve atık sahası çevresindeki düzen ve güvenlik kontrolleri.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Atık Yönetimi Yönetmeliği</w:t>
      </w:r>
    </w:p>
    <w:p>
      <w:r>
        <w:t>- Sıfır Atık Yönetmeliği</w:t>
      </w:r>
    </w:p>
    <w:p>
      <w:r>
        <w:t>- Tehlikeli Atıkların Kontrolü Yönetmeliği</w:t>
      </w:r>
    </w:p>
    <w:p>
      <w:r>
        <w:t>- Çevre Kanunu</w:t>
      </w:r>
    </w:p>
    <w:p/>
    <w:p>
      <w:r>
        <w:t>Standartlar:</w:t>
      </w:r>
    </w:p>
    <w:p>
      <w:r>
        <w:t>- ISO 14001 Operasyonel Kontrol</w:t>
      </w:r>
    </w:p>
    <w:p>
      <w:r>
        <w:t>- ESS3 Pollution Prevention</w:t>
      </w:r>
    </w:p>
    <w:p/>
    <w:p>
      <w:r>
        <w:t>ÇYS Dokümanları:</w:t>
      </w:r>
    </w:p>
    <w:p>
      <w:r>
        <w:t>- PR10 Atık Yönetimi Prosedürü</w:t>
      </w:r>
    </w:p>
    <w:p>
      <w:r>
        <w:t>- PR07 Operasyonel Kontrol Prosedürü</w:t>
      </w:r>
    </w:p>
    <w:p>
      <w:r>
        <w:t>- WI15 Atık Taşıma Talimatı</w:t>
      </w:r>
    </w:p>
    <w:p>
      <w:r>
        <w:t>- WI16 Atık Ayrıştırma Talimatı</w:t>
      </w:r>
    </w:p>
    <w:p>
      <w:r>
        <w:t>- PL08 Çevresel İzleme Planı</w:t>
      </w:r>
    </w:p>
    <w:p>
      <w:r>
        <w:t>- FR11 Atık Sahası Günlük Kontrol Formu</w:t>
      </w:r>
    </w:p>
    <w:p>
      <w:pPr>
        <w:pStyle w:val="Heading2"/>
      </w:pPr>
      <w:r>
        <w:t>4. TANIMLAR</w:t>
      </w:r>
    </w:p>
    <w:p>
      <w:r>
        <w:t>- Geçici Atık Depolama Alanı: Atıkların lisanslı firmaya teslimine kadar güvenli biçimde depolandığı alan.</w:t>
      </w:r>
    </w:p>
    <w:p>
      <w:r>
        <w:t>- Tehlikeli Atık: Yönetmelikte H kodu ile belirtilen özelliklere sahip atık.</w:t>
      </w:r>
    </w:p>
    <w:p>
      <w:r>
        <w:t>- Atık Konteyneri: Renk kodlu geçici depolama ekipmanları.</w:t>
      </w:r>
    </w:p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Günlük atık sahası kontrolünü gerçekleştirir.</w:t>
      </w:r>
    </w:p>
    <w:p>
      <w:r>
        <w:t xml:space="preserve">  • FR11 formunu doldurur.</w:t>
      </w:r>
    </w:p>
    <w:p>
      <w:r>
        <w:t xml:space="preserve">  • Uygunsuzluğu DÖF ile kayıt altına alır.</w:t>
      </w:r>
    </w:p>
    <w:p/>
    <w:p>
      <w:r>
        <w:t>- Atık Saha Sorumlusu:</w:t>
      </w:r>
    </w:p>
    <w:p>
      <w:r>
        <w:t xml:space="preserve">  • Atıkları doğru konteynere yerleştirir.</w:t>
      </w:r>
    </w:p>
    <w:p>
      <w:r>
        <w:t xml:space="preserve">  • Sızıntı ve dökülmeleri derhal bildirir.</w:t>
      </w:r>
    </w:p>
    <w:p/>
    <w:p>
      <w:r>
        <w:t>- Çalışanlar:</w:t>
      </w:r>
    </w:p>
    <w:p>
      <w:r>
        <w:t xml:space="preserve">  • Atıkları talimata uygun şekilde atar.</w:t>
      </w:r>
    </w:p>
    <w:p>
      <w:r>
        <w:t xml:space="preserve">  • Yetkisiz giriş yapmaz.</w:t>
      </w:r>
    </w:p>
    <w:p>
      <w:pPr>
        <w:pStyle w:val="Heading2"/>
      </w:pPr>
      <w:r>
        <w:t>6. UYGULAMA ADIMLARI</w:t>
      </w:r>
    </w:p>
    <w:p>
      <w:r>
        <w:t>6.1 Fiziksel Düzen Kontrolü</w:t>
      </w:r>
    </w:p>
    <w:p>
      <w:r>
        <w:t>- Atık sahası çitleri sağlam olmalıdır.</w:t>
      </w:r>
    </w:p>
    <w:p>
      <w:r>
        <w:t>- Levhalar okunur durumda olmalıdır.</w:t>
      </w:r>
    </w:p>
    <w:p>
      <w:r>
        <w:t>- Yaya ve araç yolları kapalı olmamalıdır.</w:t>
      </w:r>
    </w:p>
    <w:p/>
    <w:p>
      <w:r>
        <w:t>6.2 Konteyner ve Kutular</w:t>
      </w:r>
    </w:p>
    <w:p>
      <w:r>
        <w:t>- Renk kodları doğru mu?</w:t>
      </w:r>
    </w:p>
    <w:p>
      <w:r>
        <w:t>- Tehlikeli atık konteynerleri kapalı mı?</w:t>
      </w:r>
    </w:p>
    <w:p>
      <w:r>
        <w:t>- Doluluk oranı %80’i geçiyor mu?</w:t>
      </w:r>
    </w:p>
    <w:p/>
    <w:p>
      <w:r>
        <w:t>6.3 Sızıntı ve Dökülme</w:t>
      </w:r>
    </w:p>
    <w:p>
      <w:r>
        <w:t>- Yağ, kimyasal veya tehlikeli atık sızıntısı var mı?</w:t>
      </w:r>
    </w:p>
    <w:p>
      <w:r>
        <w:t>- Emici malzemeler yeterli mi?</w:t>
      </w:r>
    </w:p>
    <w:p>
      <w:r>
        <w:t>- Kirli alanlar temizlenmiş mi?</w:t>
      </w:r>
    </w:p>
    <w:p/>
    <w:p>
      <w:r>
        <w:t>6.4 Atık Ayrıştırma</w:t>
      </w:r>
    </w:p>
    <w:p>
      <w:r>
        <w:t>- Atıklar doğru kategoride mi?</w:t>
      </w:r>
    </w:p>
    <w:p>
      <w:r>
        <w:t>- Karışık atık var ise ayrıştırma yapılır.</w:t>
      </w:r>
    </w:p>
    <w:p/>
    <w:p>
      <w:r>
        <w:t>6.5 Güvenlik</w:t>
      </w:r>
    </w:p>
    <w:p>
      <w:r>
        <w:t>- Yetkisiz giriş var mı?</w:t>
      </w:r>
    </w:p>
    <w:p>
      <w:r>
        <w:t>- Yangın söndürücüler yerinde mi?</w:t>
      </w:r>
    </w:p>
    <w:p>
      <w:r>
        <w:t>- Alan aydınlatması çalışıyor mu?</w:t>
      </w:r>
    </w:p>
    <w:p>
      <w:pPr>
        <w:pStyle w:val="Heading2"/>
      </w:pPr>
      <w:r>
        <w:t>7. KONTROL ve İZLEME</w:t>
      </w:r>
    </w:p>
    <w:p>
      <w:r>
        <w:t>- FR11 Atık Sahası Günlük Kontrol Formu günlük olarak doldurulur.</w:t>
      </w:r>
    </w:p>
    <w:p>
      <w:r>
        <w:t>- Haftalık rapor Çevre Mühendisince hazırlanır.</w:t>
      </w:r>
    </w:p>
    <w:p>
      <w:r>
        <w:t>- Bulgular PL08’e göre izlenir.</w:t>
      </w:r>
    </w:p>
    <w:p>
      <w:pPr>
        <w:pStyle w:val="Heading2"/>
      </w:pPr>
      <w:r>
        <w:t>8. UYGUNSUZLUK ve DÖF</w:t>
      </w:r>
    </w:p>
    <w:p>
      <w:r>
        <w:t>- Karışık atık → Ayrıştırma + DÖF.</w:t>
      </w:r>
    </w:p>
    <w:p>
      <w:r>
        <w:t>- Sızıntı → Temizlik + FR27 Olay Bildirimi.</w:t>
      </w:r>
    </w:p>
    <w:p>
      <w:r>
        <w:t>- Konteyner kapasite aşımı → Ek konteyner talebi.</w:t>
      </w:r>
    </w:p>
    <w:p>
      <w:pPr>
        <w:pStyle w:val="Heading2"/>
      </w:pPr>
      <w:r>
        <w:t>9. REVİZYON KAYDI</w:t>
      </w:r>
    </w:p>
    <w:p>
      <w:r>
        <w:t>Bu bölüm revizyonlarla güncellenecektir.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