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INO-TACF-WI32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WI-32 SAHA YAĞ VE AKARYAKIT YÖNETİMİ TALİMATI</w:t>
      </w:r>
    </w:p>
    <w:p>
      <w:pPr>
        <w:pStyle w:val="Heading2"/>
      </w:pPr>
      <w:r>
        <w:t>1. AMAÇ</w:t>
      </w:r>
    </w:p>
    <w:p>
      <w:r>
        <w:t>Bu talimat; Karapınar 500 MW GES kurulum sahasında kullanılan tüm yağların, mazotun, hidrolik akışkanların ve yakıt türevlerinin güvenli depolanması, taşınması, transferi, kontrolü ve çevre mevzuatına uygun şekilde yönetilmesi amacıyla hazırlanmıştır.</w:t>
      </w:r>
    </w:p>
    <w:p>
      <w:pPr>
        <w:pStyle w:val="Heading2"/>
      </w:pPr>
      <w:r>
        <w:t>2. KAPSAM</w:t>
      </w:r>
    </w:p>
    <w:p>
      <w:r>
        <w:t>Tüm jeneratörler, iş makineleri, yakıt tankerleri, yağ depolama noktaları, transfer alanları, akaryakıt geçici depolama alanı, yakıt besleme hortumları ve sızıntı kontrol alanları.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Yağ Yönetmeliği</w:t>
      </w:r>
    </w:p>
    <w:p>
      <w:r>
        <w:t>- Tehlikeli Maddelerin Kontrolü Yönetmelikleri</w:t>
      </w:r>
    </w:p>
    <w:p>
      <w:r>
        <w:t>- Su Kirliliği Kontrolü Yönetmeliği</w:t>
      </w:r>
    </w:p>
    <w:p>
      <w:r>
        <w:t>- Çevre Kanunu</w:t>
      </w:r>
    </w:p>
    <w:p/>
    <w:p>
      <w:r>
        <w:t>Standartlar:</w:t>
      </w:r>
    </w:p>
    <w:p>
      <w:r>
        <w:t>- ISO 14001 Operasyonel Kontrol</w:t>
      </w:r>
    </w:p>
    <w:p>
      <w:r>
        <w:t>- ESS3 Pollution Prevention</w:t>
      </w:r>
    </w:p>
    <w:p/>
    <w:p>
      <w:r>
        <w:t>ÇYS Dokümanları:</w:t>
      </w:r>
    </w:p>
    <w:p>
      <w:r>
        <w:t>- PR07 Operasyonel Kontrol Prosedürü</w:t>
      </w:r>
    </w:p>
    <w:p>
      <w:r>
        <w:t>- PR16 Toprak Kirliliği Yönetim Prosedürü</w:t>
      </w:r>
    </w:p>
    <w:p>
      <w:r>
        <w:t>- PR22 Acil Durum Prosedürü</w:t>
      </w:r>
    </w:p>
    <w:p>
      <w:r>
        <w:t>- WI19 Tehlikeli Madde Temas Talimatı</w:t>
      </w:r>
    </w:p>
    <w:p>
      <w:r>
        <w:t>- FR24 Toprak Kirliliği Bildirim Formu</w:t>
      </w:r>
    </w:p>
    <w:p>
      <w:r>
        <w:t>- FR27 Olay Bildirim Formu</w:t>
      </w:r>
    </w:p>
    <w:p>
      <w:r>
        <w:t>- PL08 Çevresel İzleme Planı</w:t>
      </w:r>
    </w:p>
    <w:p>
      <w:pPr>
        <w:pStyle w:val="Heading2"/>
      </w:pPr>
      <w:r>
        <w:t>4. TANIMLAR</w:t>
      </w:r>
    </w:p>
    <w:p>
      <w:r>
        <w:t>- Atık Yağ: Motor, hidrolik veya makine yağlarının kullanım sonucu kirlenmiş hali.</w:t>
      </w:r>
    </w:p>
    <w:p>
      <w:r>
        <w:t>- Yakıt Transferi: Tankerden iş makinesine veya depoya yakıt aktarımı.</w:t>
      </w:r>
    </w:p>
    <w:p>
      <w:r>
        <w:t>- Sekonder Koruma: 10–20 cm bariyer ile oluşturulan sızıntı tutucu alan.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Yakıt ve yağ depolama alanlarını kontrol eder.</w:t>
      </w:r>
    </w:p>
    <w:p>
      <w:r>
        <w:t xml:space="preserve">  • Sızıntı veya dökülme durumunda FR24 kayıt açar.</w:t>
      </w:r>
    </w:p>
    <w:p/>
    <w:p>
      <w:r>
        <w:t>- Makine Bakım Sorumlusu:</w:t>
      </w:r>
    </w:p>
    <w:p>
      <w:r>
        <w:t xml:space="preserve">  • Yağ ve yakıt dolum işlemlerini güvenli yürütür.</w:t>
      </w:r>
    </w:p>
    <w:p>
      <w:r>
        <w:t xml:space="preserve">  • Atık yağları uygun kaplarda toplar.</w:t>
      </w:r>
    </w:p>
    <w:p/>
    <w:p>
      <w:r>
        <w:t>- Tanker Operatörü:</w:t>
      </w:r>
    </w:p>
    <w:p>
      <w:r>
        <w:t xml:space="preserve">  • Yakıt transferini güvenli yapar.</w:t>
      </w:r>
    </w:p>
    <w:p>
      <w:r>
        <w:t xml:space="preserve">  • Hortum ve kapakların kapalı olmasını sağlar.</w:t>
      </w:r>
    </w:p>
    <w:p>
      <w:pPr>
        <w:pStyle w:val="Heading2"/>
      </w:pPr>
      <w:r>
        <w:t>6. UYGULAMA ADIMLARI</w:t>
      </w:r>
    </w:p>
    <w:p>
      <w:r>
        <w:t>6.1 Yakıt Tankeri ve Depo Kontrolü</w:t>
      </w:r>
    </w:p>
    <w:p>
      <w:r>
        <w:t>- Tanker kapakları kapalı olmalıdır.</w:t>
      </w:r>
    </w:p>
    <w:p>
      <w:r>
        <w:t>- Yakıt yalnızca yetkili firmadan alınmalıdır.</w:t>
      </w:r>
    </w:p>
    <w:p>
      <w:r>
        <w:t>- Depo etrafında sekonder koruma bariyeri bulunmalıdır.</w:t>
      </w:r>
    </w:p>
    <w:p/>
    <w:p>
      <w:r>
        <w:t>6.2 Yakıt Dolum İşlemi</w:t>
      </w:r>
    </w:p>
    <w:p>
      <w:r>
        <w:t>- Yakıt hortumu sağlam ve yırtıksız olmalıdır.</w:t>
      </w:r>
    </w:p>
    <w:p>
      <w:r>
        <w:t>- Dökülme ihtimaline karşı damlama tavası kullanılmalıdır.</w:t>
      </w:r>
    </w:p>
    <w:p>
      <w:r>
        <w:t>- Dolum sırasında sigara içilmez, kıvılcım kaynakları yasaktır.</w:t>
      </w:r>
    </w:p>
    <w:p/>
    <w:p>
      <w:r>
        <w:t>6.3 Yağ Dolum ve Değişim İşlemleri</w:t>
      </w:r>
    </w:p>
    <w:p>
      <w:r>
        <w:t>- Atık yağlar lisanslı kaplara aktarılmalıdır.</w:t>
      </w:r>
    </w:p>
    <w:p>
      <w:r>
        <w:t>- Dökülme durumunda emici granül kullanılmalıdır.</w:t>
      </w:r>
    </w:p>
    <w:p/>
    <w:p>
      <w:r>
        <w:t>6.4 Sızıntı ve Dökülme Yönetimi</w:t>
      </w:r>
    </w:p>
    <w:p>
      <w:r>
        <w:t>- Sızıntı görüldüğünde alan şeritle kapatılır.</w:t>
      </w:r>
    </w:p>
    <w:p>
      <w:r>
        <w:t>- Emici ped ile müdahale edilir.</w:t>
      </w:r>
    </w:p>
    <w:p>
      <w:r>
        <w:t>- Kirli malzeme tehlikeli atık olarak toplanır.</w:t>
      </w:r>
    </w:p>
    <w:p>
      <w:r>
        <w:t>- FR24 Toprak Kirliliği Formu doldurulur.</w:t>
      </w:r>
    </w:p>
    <w:p>
      <w:r>
        <w:t>- Gerekirse PR22 Acil Durum Prosedürü uygulanır.</w:t>
      </w:r>
    </w:p>
    <w:p/>
    <w:p>
      <w:r>
        <w:t>6.5 Transfer Alanı Yönetimi</w:t>
      </w:r>
    </w:p>
    <w:p>
      <w:r>
        <w:t>- Transfer sırasında yağmur suyu drenajına akış engellenmelidir.</w:t>
      </w:r>
    </w:p>
    <w:p>
      <w:r>
        <w:t>- Yalnızca eğitimli personel işlem yapabilir.</w:t>
      </w:r>
    </w:p>
    <w:p>
      <w:pPr>
        <w:pStyle w:val="Heading2"/>
      </w:pPr>
      <w:r>
        <w:t>7. KONTROL ve İZLEME</w:t>
      </w:r>
    </w:p>
    <w:p>
      <w:r>
        <w:t>- Yakıt ve yağ depolama alanı günlük kontrol edilir.</w:t>
      </w:r>
    </w:p>
    <w:p>
      <w:r>
        <w:t>- Haftalık sızıntı ve dökülme denetimi yapılır.</w:t>
      </w:r>
    </w:p>
    <w:p>
      <w:r>
        <w:t>- FR24 ve FR27 kayıtları düzenli arşivlenir.</w:t>
      </w:r>
    </w:p>
    <w:p>
      <w:pPr>
        <w:pStyle w:val="Heading2"/>
      </w:pPr>
      <w:r>
        <w:t>8. UYGUNSUZLUK ve DÖF</w:t>
      </w:r>
    </w:p>
    <w:p>
      <w:r>
        <w:t>- Dökülme → Temizlik + FR24.</w:t>
      </w:r>
    </w:p>
    <w:p>
      <w:r>
        <w:t>- Etiketsiz yağ kabı → Etiketleme + DÖF.</w:t>
      </w:r>
    </w:p>
    <w:p>
      <w:r>
        <w:t>- Transfer sonrası hortum açık unutulursa → Eğitim + uyarı.</w:t>
      </w:r>
    </w:p>
    <w:p>
      <w:pPr>
        <w:pStyle w:val="Heading2"/>
      </w:pPr>
      <w:r>
        <w:t>9. REVİZYON KAYDI</w:t>
      </w:r>
    </w:p>
    <w:p>
      <w:r>
        <w:t>Revizyonlar bu bölümde kayıt altına alınacaktır.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