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INO-TACF-WI34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WI-34 SAHA ATIK TAŞIMA TALİMATI</w:t>
      </w:r>
    </w:p>
    <w:p>
      <w:pPr>
        <w:pStyle w:val="Heading2"/>
      </w:pPr>
      <w:r>
        <w:t>1. AMAÇ</w:t>
      </w:r>
    </w:p>
    <w:p>
      <w:r>
        <w:t>Bu talimat; Karapınar 500 MW GES kurulum sahasında oluşan tüm tehlikeli ve tehlikesiz atıkların saha içinde güvenli, düzenli ve yönetmeliklere uygun şekilde taşınmasını sağlamak amacıyla hazırlanmıştır.</w:t>
      </w:r>
    </w:p>
    <w:p>
      <w:pPr>
        <w:pStyle w:val="Heading2"/>
      </w:pPr>
      <w:r>
        <w:t>2. KAPSAM</w:t>
      </w:r>
    </w:p>
    <w:p>
      <w:r>
        <w:t>Şantiye içinde üretilen tüm atıkların konteynerlerden geçici depolama alanına taşınmasını kapsar. Kapsam dahilinde ambalaj atıkları, metal, kablo, ahşap, tehlikeli atıklar, yemek atıkları ve geri dönüşüm atıkları bulunmaktadır.</w:t>
      </w:r>
    </w:p>
    <w:p>
      <w:pPr>
        <w:pStyle w:val="Heading2"/>
      </w:pPr>
      <w:r>
        <w:t>3. DAYANAK ve İLGİLİ DOKÜMANLAR</w:t>
      </w:r>
    </w:p>
    <w:p>
      <w:r>
        <w:t>Mevzuat:</w:t>
      </w:r>
    </w:p>
    <w:p>
      <w:r>
        <w:t>- Atık Yönetimi Yönetmeliği</w:t>
      </w:r>
    </w:p>
    <w:p>
      <w:r>
        <w:t>- Sıfır Atık Yönetmeliği</w:t>
      </w:r>
    </w:p>
    <w:p>
      <w:r>
        <w:t>- Tehlikeli Atık Yönetimi</w:t>
      </w:r>
    </w:p>
    <w:p>
      <w:r>
        <w:t>- Çevre Kanunu</w:t>
      </w:r>
    </w:p>
    <w:p/>
    <w:p>
      <w:r>
        <w:t>Standartlar:</w:t>
      </w:r>
    </w:p>
    <w:p>
      <w:r>
        <w:t>- ISO 14001 Operasyonel Kontrol</w:t>
      </w:r>
    </w:p>
    <w:p>
      <w:r>
        <w:t>- ESS3 Pollution Prevention</w:t>
      </w:r>
    </w:p>
    <w:p/>
    <w:p>
      <w:r>
        <w:t>ÇYS Dokümanları:</w:t>
      </w:r>
    </w:p>
    <w:p>
      <w:r>
        <w:t>- PR10 Atık Yönetimi Prosedürü</w:t>
      </w:r>
    </w:p>
    <w:p>
      <w:r>
        <w:t>- PR07 Operasyonel Kontrol Prosedürü</w:t>
      </w:r>
    </w:p>
    <w:p>
      <w:r>
        <w:t>- WI16 Atık Ayrıştırma Talimatı</w:t>
      </w:r>
    </w:p>
    <w:p>
      <w:r>
        <w:t>- WI30 Atık Sahası Günlük Kontrol Talimatı</w:t>
      </w:r>
    </w:p>
    <w:p>
      <w:r>
        <w:t>- FR15 Atık Taşıma Kayıt Formu</w:t>
      </w:r>
    </w:p>
    <w:p>
      <w:r>
        <w:t>- FR11 Atık Sahası Kontrol Formu</w:t>
      </w:r>
    </w:p>
    <w:p>
      <w:pPr>
        <w:pStyle w:val="Heading2"/>
      </w:pPr>
      <w:r>
        <w:t>4. TANIMLAR</w:t>
      </w:r>
    </w:p>
    <w:p>
      <w:r>
        <w:t>- Atık Taşıma: Atığın oluştuğu noktadan geçici depolama alanına kontrollü şekilde taşınması.</w:t>
      </w:r>
    </w:p>
    <w:p>
      <w:r>
        <w:t>- Atık Toplama Noktası: Her iş grubunun belirlenmiş atık kutuları.</w:t>
      </w:r>
    </w:p>
    <w:p>
      <w:r>
        <w:t>- Tehlikeli Atık Taşıma: Yönetmelik kapsamında etiketli ve kapalı kaplarda yapılan taşıma işlemi.</w:t>
      </w:r>
    </w:p>
    <w:p>
      <w:pPr>
        <w:pStyle w:val="Heading2"/>
      </w:pPr>
      <w:r>
        <w:t>5. SORUMLULUKLAR</w:t>
      </w:r>
    </w:p>
    <w:p>
      <w:r>
        <w:t>- Çevre Mühendisi:</w:t>
      </w:r>
    </w:p>
    <w:p>
      <w:r>
        <w:t xml:space="preserve">  • Günlük atık taşıma planını kontrol eder.</w:t>
      </w:r>
    </w:p>
    <w:p>
      <w:r>
        <w:t xml:space="preserve">  • Tehlikeli atık taşımasını izler.</w:t>
      </w:r>
    </w:p>
    <w:p>
      <w:r>
        <w:t xml:space="preserve">  • FR15 formunun doldurulmasını sağlar.</w:t>
      </w:r>
    </w:p>
    <w:p/>
    <w:p>
      <w:r>
        <w:t>- Atık Saha Sorumlusu:</w:t>
      </w:r>
    </w:p>
    <w:p>
      <w:r>
        <w:t xml:space="preserve">  • Atıkların doğru kutulardan alındığını kontrol eder.</w:t>
      </w:r>
    </w:p>
    <w:p>
      <w:r>
        <w:t xml:space="preserve">  • Tehlikeli atıkları ayrı toplar.</w:t>
      </w:r>
    </w:p>
    <w:p/>
    <w:p>
      <w:r>
        <w:t>- Operatör ve Taşıma Personeli:</w:t>
      </w:r>
    </w:p>
    <w:p>
      <w:r>
        <w:t xml:space="preserve">  • Atıkları dökmeden taşır.</w:t>
      </w:r>
    </w:p>
    <w:p>
      <w:r>
        <w:t xml:space="preserve">  • Renk kodlarına uyar.</w:t>
      </w:r>
    </w:p>
    <w:p>
      <w:r>
        <w:t xml:space="preserve">  • Dökülme durumunda bildirim yapar.</w:t>
      </w:r>
    </w:p>
    <w:p>
      <w:pPr>
        <w:pStyle w:val="Heading2"/>
      </w:pPr>
      <w:r>
        <w:t>6. ATIK TAŞIMA UYGULAMA ADIMLARI</w:t>
      </w:r>
    </w:p>
    <w:p>
      <w:r>
        <w:t>6.1 Genel Kurallar</w:t>
      </w:r>
    </w:p>
    <w:p>
      <w:r>
        <w:t>- Atıklar açıkta taşınamaz.</w:t>
      </w:r>
    </w:p>
    <w:p>
      <w:r>
        <w:t>- Tehlikeli atıklar kapaklı ve etiketli kaplarda taşınır.</w:t>
      </w:r>
    </w:p>
    <w:p>
      <w:r>
        <w:t>- Atık torbaları delik olmamalıdır.</w:t>
      </w:r>
    </w:p>
    <w:p/>
    <w:p>
      <w:r>
        <w:t>6.2 Tehlikeli Atıkların Taşınması</w:t>
      </w:r>
    </w:p>
    <w:p>
      <w:r>
        <w:t>- Tehlikeli atıklar kırmızı renkli konteynere taşınmalıdır.</w:t>
      </w:r>
    </w:p>
    <w:p>
      <w:r>
        <w:t>- Sızıntı ihtimaline karşı ikincil kap kullanılmalıdır.</w:t>
      </w:r>
    </w:p>
    <w:p>
      <w:r>
        <w:t>- FR15’e kayıt edilir.</w:t>
      </w:r>
    </w:p>
    <w:p/>
    <w:p>
      <w:r>
        <w:t>6.3 Geri Dönüşebilir Atıkların Taşınması</w:t>
      </w:r>
    </w:p>
    <w:p>
      <w:r>
        <w:t>- Kâğıt/Karton → Mavi konteyner</w:t>
      </w:r>
    </w:p>
    <w:p>
      <w:r>
        <w:t>- Plastik → Sarı konteyner</w:t>
      </w:r>
    </w:p>
    <w:p>
      <w:r>
        <w:t>- Metal → Gri konteyner</w:t>
      </w:r>
    </w:p>
    <w:p/>
    <w:p>
      <w:r>
        <w:t>6.4 Yemekhane Atıkları</w:t>
      </w:r>
    </w:p>
    <w:p>
      <w:r>
        <w:t>- Organik atıklar kapalı kaplarda taşınmalıdır.</w:t>
      </w:r>
    </w:p>
    <w:p>
      <w:r>
        <w:t>- Gün sonunda mutlaka alınmalıdır.</w:t>
      </w:r>
    </w:p>
    <w:p/>
    <w:p>
      <w:r>
        <w:t>6.5 Kırık Cam – Kesici Delici Atıklar</w:t>
      </w:r>
    </w:p>
    <w:p>
      <w:r>
        <w:t>- Orijinal kutularında veya dayanıklı kaplarda taşınır.</w:t>
      </w:r>
    </w:p>
    <w:p>
      <w:r>
        <w:t>- Asla el ile direkt temas edilmez (KKD zorunlu).</w:t>
      </w:r>
    </w:p>
    <w:p>
      <w:pPr>
        <w:pStyle w:val="Heading2"/>
      </w:pPr>
      <w:r>
        <w:t>7. KONTROL ve İZLEME</w:t>
      </w:r>
    </w:p>
    <w:p>
      <w:r>
        <w:t>- Taşıma işlemleri günlük gözlem ile kontrol edilir.</w:t>
      </w:r>
    </w:p>
    <w:p>
      <w:r>
        <w:t>- FR15 düzenli olarak arşivlenir.</w:t>
      </w:r>
    </w:p>
    <w:p>
      <w:r>
        <w:t>- PR10 prosedürüne göre aylık rapor hazırlanır.</w:t>
      </w:r>
    </w:p>
    <w:p>
      <w:pPr>
        <w:pStyle w:val="Heading2"/>
      </w:pPr>
      <w:r>
        <w:t>8. UYGUNSUZLUK ve DÖF</w:t>
      </w:r>
    </w:p>
    <w:p>
      <w:r>
        <w:t>- Atığın yanlış konteynere taşınması → Ayrıştırma + DÖF.</w:t>
      </w:r>
    </w:p>
    <w:p>
      <w:r>
        <w:t>- Dökülme → Temizlik + FR27 Olay Bildirimi.</w:t>
      </w:r>
    </w:p>
    <w:p>
      <w:r>
        <w:t>- Renk kodlarına uyulmaması → Eğitim + uyarı.</w:t>
      </w:r>
    </w:p>
    <w:p>
      <w:pPr>
        <w:pStyle w:val="Heading2"/>
      </w:pPr>
      <w:r>
        <w:t>9. REVİZYON KAYDI</w:t>
      </w:r>
    </w:p>
    <w:p>
      <w:r>
        <w:t>Bu bölüm revizyonlarla güncellenecektir.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Revizyon No</w:t>
            </w:r>
          </w:p>
        </w:tc>
        <w:tc>
          <w:tcPr>
            <w:tcW w:type="dxa" w:w="2880"/>
          </w:tcPr>
          <w:p>
            <w:r>
              <w:t>Tarih</w:t>
            </w:r>
          </w:p>
        </w:tc>
        <w:tc>
          <w:tcPr>
            <w:tcW w:type="dxa" w:w="2880"/>
          </w:tcPr>
          <w:p>
            <w:r>
              <w:t>Açıklama</w:t>
            </w:r>
          </w:p>
        </w:tc>
      </w:tr>
      <w:tr>
        <w:tc>
          <w:tcPr>
            <w:tcW w:type="dxa" w:w="2880"/>
          </w:tcPr>
          <w:p>
            <w:r>
              <w:t>00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İlk yayın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