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BE" w:rsidRPr="003C3DC0" w:rsidRDefault="00566BBE" w:rsidP="00566BBE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bookmarkStart w:id="0" w:name="_Hlk503445086"/>
      <w:r>
        <w:rPr>
          <w:rFonts w:ascii="Arial" w:eastAsia="Arial Unicode MS" w:hAnsi="Arial" w:cs="Arial"/>
          <w:b/>
          <w:i/>
          <w:sz w:val="48"/>
          <w:szCs w:val="48"/>
          <w:highlight w:val="cyan"/>
        </w:rPr>
        <w:t>Practice Name:</w:t>
      </w:r>
    </w:p>
    <w:bookmarkEnd w:id="0"/>
    <w:p w:rsidR="00566BBE" w:rsidRPr="005C3F8C" w:rsidRDefault="00566BBE" w:rsidP="00566BBE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</w:rPr>
      </w:pPr>
      <w:r>
        <w:rPr>
          <w:rFonts w:ascii="Arial" w:eastAsia="Arial Unicode MS" w:hAnsi="Arial" w:cs="Arial"/>
          <w:b/>
          <w:sz w:val="28"/>
          <w:szCs w:val="28"/>
          <w:highlight w:val="cyan"/>
        </w:rPr>
        <w:t>Address:</w:t>
      </w:r>
    </w:p>
    <w:p w:rsidR="00542239" w:rsidRDefault="00542239"/>
    <w:p w:rsidR="00542239" w:rsidRPr="00F4135E" w:rsidRDefault="00542239">
      <w:pPr>
        <w:rPr>
          <w:b/>
          <w:color w:val="000000" w:themeColor="text1"/>
          <w:sz w:val="28"/>
          <w:szCs w:val="28"/>
        </w:rPr>
      </w:pPr>
      <w:r w:rsidRPr="00F4135E">
        <w:rPr>
          <w:b/>
          <w:color w:val="000000" w:themeColor="text1"/>
          <w:sz w:val="28"/>
          <w:szCs w:val="28"/>
        </w:rPr>
        <w:t xml:space="preserve">Policy Care </w:t>
      </w:r>
      <w:r w:rsidR="00566BBE">
        <w:rPr>
          <w:b/>
          <w:color w:val="000000" w:themeColor="text1"/>
          <w:sz w:val="28"/>
          <w:szCs w:val="28"/>
        </w:rPr>
        <w:t>Plan Integration</w:t>
      </w:r>
    </w:p>
    <w:p w:rsidR="00542239" w:rsidRPr="00FD52E6" w:rsidRDefault="00542239">
      <w:pPr>
        <w:rPr>
          <w:b/>
          <w:color w:val="000000" w:themeColor="text1"/>
          <w:sz w:val="28"/>
          <w:szCs w:val="28"/>
          <w:highlight w:val="cyan"/>
        </w:rPr>
      </w:pPr>
      <w:r w:rsidRPr="00FD52E6">
        <w:rPr>
          <w:b/>
          <w:color w:val="000000" w:themeColor="text1"/>
          <w:sz w:val="28"/>
          <w:szCs w:val="28"/>
          <w:highlight w:val="cyan"/>
        </w:rPr>
        <w:t>Policy Effective</w:t>
      </w:r>
      <w:r w:rsidR="00A926C5" w:rsidRPr="00FD52E6">
        <w:rPr>
          <w:b/>
          <w:color w:val="000000" w:themeColor="text1"/>
          <w:sz w:val="28"/>
          <w:szCs w:val="28"/>
          <w:highlight w:val="cyan"/>
        </w:rPr>
        <w:t>:</w:t>
      </w:r>
      <w:r w:rsidRPr="00FD52E6">
        <w:rPr>
          <w:b/>
          <w:color w:val="000000" w:themeColor="text1"/>
          <w:sz w:val="28"/>
          <w:szCs w:val="28"/>
          <w:highlight w:val="cyan"/>
        </w:rPr>
        <w:t xml:space="preserve"> </w:t>
      </w:r>
      <w:r w:rsidR="008D496F" w:rsidRPr="00FD52E6">
        <w:rPr>
          <w:b/>
          <w:color w:val="000000" w:themeColor="text1"/>
          <w:sz w:val="28"/>
          <w:szCs w:val="28"/>
          <w:highlight w:val="cyan"/>
        </w:rPr>
        <w:t>4/3</w:t>
      </w:r>
      <w:r w:rsidR="00A926C5" w:rsidRPr="00FD52E6">
        <w:rPr>
          <w:b/>
          <w:color w:val="000000" w:themeColor="text1"/>
          <w:sz w:val="28"/>
          <w:szCs w:val="28"/>
          <w:highlight w:val="cyan"/>
        </w:rPr>
        <w:t>/17</w:t>
      </w:r>
    </w:p>
    <w:p w:rsidR="00B631CF" w:rsidRDefault="00944BA6">
      <w:pPr>
        <w:rPr>
          <w:color w:val="000000" w:themeColor="text1"/>
          <w:sz w:val="24"/>
          <w:szCs w:val="24"/>
        </w:rPr>
      </w:pPr>
      <w:r w:rsidRPr="00566BBE">
        <w:rPr>
          <w:color w:val="000000" w:themeColor="text1"/>
          <w:sz w:val="24"/>
          <w:szCs w:val="24"/>
        </w:rPr>
        <w:t xml:space="preserve">At </w:t>
      </w:r>
      <w:r w:rsidR="00566BBE" w:rsidRPr="00566BBE">
        <w:rPr>
          <w:color w:val="000000" w:themeColor="text1"/>
          <w:sz w:val="24"/>
          <w:szCs w:val="24"/>
          <w:highlight w:val="cyan"/>
        </w:rPr>
        <w:t>Practice Name</w:t>
      </w:r>
      <w:r w:rsidRPr="00F4135E">
        <w:rPr>
          <w:color w:val="000000" w:themeColor="text1"/>
          <w:sz w:val="24"/>
          <w:szCs w:val="24"/>
        </w:rPr>
        <w:t xml:space="preserve">, we </w:t>
      </w:r>
      <w:r w:rsidR="00927AB2">
        <w:rPr>
          <w:color w:val="000000" w:themeColor="text1"/>
          <w:sz w:val="24"/>
          <w:szCs w:val="24"/>
        </w:rPr>
        <w:t xml:space="preserve">believe that our patients’ care plans should be accessible to all participants in the care team, including external care settings. We do this in several ways. </w:t>
      </w:r>
    </w:p>
    <w:p w:rsidR="008A4DC0" w:rsidRDefault="008A4DC0" w:rsidP="008A4DC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share the care plans to the patient portal, so that our population can access their care plans at any time, and share them with other professionals as appropriate.</w:t>
      </w:r>
      <w:r w:rsidR="00C83FD1">
        <w:rPr>
          <w:color w:val="000000" w:themeColor="text1"/>
          <w:sz w:val="24"/>
          <w:szCs w:val="24"/>
        </w:rPr>
        <w:t xml:space="preserve"> (</w:t>
      </w:r>
      <w:r w:rsidR="00C83FD1" w:rsidRPr="00C83FD1">
        <w:rPr>
          <w:color w:val="FF0000"/>
          <w:sz w:val="24"/>
          <w:szCs w:val="24"/>
        </w:rPr>
        <w:t>AC-06</w:t>
      </w:r>
      <w:r w:rsidR="00C83FD1">
        <w:rPr>
          <w:color w:val="000000" w:themeColor="text1"/>
          <w:sz w:val="24"/>
          <w:szCs w:val="24"/>
        </w:rPr>
        <w:t>)</w:t>
      </w:r>
    </w:p>
    <w:p w:rsidR="008A4DC0" w:rsidRDefault="008A4DC0" w:rsidP="008A4DC0">
      <w:pPr>
        <w:pStyle w:val="ListParagraph"/>
        <w:rPr>
          <w:color w:val="000000" w:themeColor="text1"/>
          <w:sz w:val="24"/>
          <w:szCs w:val="24"/>
        </w:rPr>
      </w:pPr>
    </w:p>
    <w:p w:rsidR="008A4DC0" w:rsidRDefault="008A4DC0" w:rsidP="008A4DC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When referring patients to specialists, we send a copy of the patient’s most recent lab results, as well as their most current and up-to-date care plan.</w:t>
      </w:r>
      <w:r w:rsidR="00C83FD1">
        <w:rPr>
          <w:color w:val="000000" w:themeColor="text1"/>
          <w:sz w:val="24"/>
          <w:szCs w:val="24"/>
        </w:rPr>
        <w:t xml:space="preserve"> When the specialist’s report comes back to us, those details are incorporated into the patient’s overall care plan. (</w:t>
      </w:r>
      <w:r w:rsidR="00C83FD1" w:rsidRPr="00C83FD1">
        <w:rPr>
          <w:color w:val="FF0000"/>
          <w:sz w:val="24"/>
          <w:szCs w:val="24"/>
        </w:rPr>
        <w:t>CC-04, CC-08, CC-09</w:t>
      </w:r>
      <w:r w:rsidR="00C83FD1">
        <w:rPr>
          <w:color w:val="000000" w:themeColor="text1"/>
          <w:sz w:val="24"/>
          <w:szCs w:val="24"/>
        </w:rPr>
        <w:t>)</w:t>
      </w:r>
    </w:p>
    <w:p w:rsidR="008A4DC0" w:rsidRPr="008A4DC0" w:rsidRDefault="008A4DC0" w:rsidP="008A4DC0">
      <w:pPr>
        <w:pStyle w:val="ListParagraph"/>
        <w:rPr>
          <w:color w:val="000000" w:themeColor="text1"/>
          <w:sz w:val="24"/>
          <w:szCs w:val="24"/>
        </w:rPr>
      </w:pPr>
    </w:p>
    <w:p w:rsidR="005D0966" w:rsidRPr="005D0966" w:rsidRDefault="00C83FD1" w:rsidP="005D096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Other care setting</w:t>
      </w:r>
      <w:r w:rsidR="005D0966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, such as hospitals, that admit or treat our patients call us to confirm medications and care plans. When they do, we provide all necessary details to the other organization. </w:t>
      </w:r>
      <w:r w:rsidR="005D0966">
        <w:rPr>
          <w:color w:val="000000" w:themeColor="text1"/>
          <w:sz w:val="24"/>
          <w:szCs w:val="24"/>
        </w:rPr>
        <w:t>(</w:t>
      </w:r>
      <w:r w:rsidR="005D0966" w:rsidRPr="005D0966">
        <w:rPr>
          <w:color w:val="FF0000"/>
          <w:sz w:val="24"/>
          <w:szCs w:val="24"/>
        </w:rPr>
        <w:t>CC-15</w:t>
      </w:r>
      <w:r w:rsidR="005D0966" w:rsidRPr="005D0966">
        <w:rPr>
          <w:sz w:val="24"/>
          <w:szCs w:val="24"/>
        </w:rPr>
        <w:t>)</w:t>
      </w:r>
      <w:r w:rsidR="005D0966">
        <w:rPr>
          <w:color w:val="FF0000"/>
          <w:sz w:val="24"/>
          <w:szCs w:val="24"/>
        </w:rPr>
        <w:t xml:space="preserve"> </w:t>
      </w:r>
      <w:r w:rsidR="005D0966">
        <w:rPr>
          <w:color w:val="000000" w:themeColor="text1"/>
          <w:sz w:val="24"/>
          <w:szCs w:val="24"/>
        </w:rPr>
        <w:t xml:space="preserve">Further, we use the knowledge of the patient’s hospitalization to initiate several procedures, including but not limited to:  </w:t>
      </w:r>
    </w:p>
    <w:p w:rsidR="005D0966" w:rsidRDefault="005D0966" w:rsidP="005D0966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Using this communication to identify patients </w:t>
      </w:r>
      <w:r w:rsidRPr="005D0966">
        <w:rPr>
          <w:color w:val="000000" w:themeColor="text1"/>
          <w:sz w:val="24"/>
          <w:szCs w:val="24"/>
        </w:rPr>
        <w:t>with unplanned hospital admissions and emergency department visits.</w:t>
      </w:r>
      <w:r>
        <w:rPr>
          <w:color w:val="000000" w:themeColor="text1"/>
          <w:sz w:val="24"/>
          <w:szCs w:val="24"/>
        </w:rPr>
        <w:t xml:space="preserve"> (</w:t>
      </w:r>
      <w:r w:rsidRPr="005D0966">
        <w:rPr>
          <w:color w:val="FF0000"/>
          <w:sz w:val="24"/>
          <w:szCs w:val="24"/>
        </w:rPr>
        <w:t>CC-14</w:t>
      </w:r>
      <w:r w:rsidRPr="005D0966">
        <w:rPr>
          <w:sz w:val="24"/>
          <w:szCs w:val="24"/>
        </w:rPr>
        <w:t>)</w:t>
      </w:r>
    </w:p>
    <w:p w:rsidR="005D0966" w:rsidRDefault="005D0966" w:rsidP="005D0966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Proactively reach out to the patient/family/caregiver to schedule a follow-up appointment at our office. (</w:t>
      </w:r>
      <w:r w:rsidRPr="005D0966">
        <w:rPr>
          <w:color w:val="FF0000"/>
          <w:sz w:val="24"/>
          <w:szCs w:val="24"/>
        </w:rPr>
        <w:t>CC-1</w:t>
      </w:r>
      <w:r>
        <w:rPr>
          <w:color w:val="FF0000"/>
          <w:sz w:val="24"/>
          <w:szCs w:val="24"/>
        </w:rPr>
        <w:t>6</w:t>
      </w:r>
      <w:r w:rsidRPr="005D0966">
        <w:rPr>
          <w:sz w:val="24"/>
          <w:szCs w:val="24"/>
        </w:rPr>
        <w:t>)</w:t>
      </w:r>
    </w:p>
    <w:p w:rsidR="005D0966" w:rsidRPr="00701817" w:rsidRDefault="00701817" w:rsidP="005D0966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Work with the other care setting to ensure that a note is placed in the patient chart that discharge documents should be sent to our practice as soon as available. (</w:t>
      </w:r>
      <w:r w:rsidRPr="005D0966">
        <w:rPr>
          <w:color w:val="FF0000"/>
          <w:sz w:val="24"/>
          <w:szCs w:val="24"/>
        </w:rPr>
        <w:t>CC-1</w:t>
      </w:r>
      <w:r>
        <w:rPr>
          <w:color w:val="FF0000"/>
          <w:sz w:val="24"/>
          <w:szCs w:val="24"/>
        </w:rPr>
        <w:t>9</w:t>
      </w:r>
      <w:r w:rsidRPr="005D0966">
        <w:rPr>
          <w:sz w:val="24"/>
          <w:szCs w:val="24"/>
        </w:rPr>
        <w:t>)</w:t>
      </w:r>
    </w:p>
    <w:p w:rsidR="00542239" w:rsidRPr="00542239" w:rsidRDefault="00542239">
      <w:pPr>
        <w:rPr>
          <w:sz w:val="24"/>
          <w:szCs w:val="24"/>
        </w:rPr>
      </w:pPr>
      <w:bookmarkStart w:id="1" w:name="_GoBack"/>
      <w:bookmarkEnd w:id="1"/>
    </w:p>
    <w:sectPr w:rsidR="00542239" w:rsidRPr="00542239" w:rsidSect="0023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700D"/>
    <w:multiLevelType w:val="hybridMultilevel"/>
    <w:tmpl w:val="7700D1FC"/>
    <w:lvl w:ilvl="0" w:tplc="1002A3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5052E"/>
    <w:multiLevelType w:val="hybridMultilevel"/>
    <w:tmpl w:val="5924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2239"/>
    <w:rsid w:val="00002B51"/>
    <w:rsid w:val="000210FC"/>
    <w:rsid w:val="00027C0B"/>
    <w:rsid w:val="00032904"/>
    <w:rsid w:val="0008145C"/>
    <w:rsid w:val="000B377E"/>
    <w:rsid w:val="000C5362"/>
    <w:rsid w:val="00130D3E"/>
    <w:rsid w:val="0019556E"/>
    <w:rsid w:val="001A4B4E"/>
    <w:rsid w:val="00236A86"/>
    <w:rsid w:val="00255A43"/>
    <w:rsid w:val="002C22E2"/>
    <w:rsid w:val="002D03ED"/>
    <w:rsid w:val="002F2600"/>
    <w:rsid w:val="00324EEB"/>
    <w:rsid w:val="00386094"/>
    <w:rsid w:val="003A75D5"/>
    <w:rsid w:val="003C7A20"/>
    <w:rsid w:val="003F2211"/>
    <w:rsid w:val="004143D9"/>
    <w:rsid w:val="004F6B8B"/>
    <w:rsid w:val="00500EC3"/>
    <w:rsid w:val="00507BDD"/>
    <w:rsid w:val="00542239"/>
    <w:rsid w:val="00556696"/>
    <w:rsid w:val="00566BBE"/>
    <w:rsid w:val="00595BB8"/>
    <w:rsid w:val="005D0966"/>
    <w:rsid w:val="005D34F4"/>
    <w:rsid w:val="0068232D"/>
    <w:rsid w:val="006A5015"/>
    <w:rsid w:val="00701817"/>
    <w:rsid w:val="00737689"/>
    <w:rsid w:val="00746D28"/>
    <w:rsid w:val="007523DA"/>
    <w:rsid w:val="00773845"/>
    <w:rsid w:val="007838FF"/>
    <w:rsid w:val="007F53AB"/>
    <w:rsid w:val="00806711"/>
    <w:rsid w:val="00853902"/>
    <w:rsid w:val="008947DC"/>
    <w:rsid w:val="008A4DC0"/>
    <w:rsid w:val="008A67D9"/>
    <w:rsid w:val="008D3770"/>
    <w:rsid w:val="008D496F"/>
    <w:rsid w:val="008F1C0C"/>
    <w:rsid w:val="00904B83"/>
    <w:rsid w:val="00927AB2"/>
    <w:rsid w:val="00944BA6"/>
    <w:rsid w:val="00964357"/>
    <w:rsid w:val="009C7BCA"/>
    <w:rsid w:val="00A20265"/>
    <w:rsid w:val="00A85DC0"/>
    <w:rsid w:val="00A926C5"/>
    <w:rsid w:val="00AA42EB"/>
    <w:rsid w:val="00AB1B50"/>
    <w:rsid w:val="00AD13DA"/>
    <w:rsid w:val="00AE09E0"/>
    <w:rsid w:val="00AE3AC3"/>
    <w:rsid w:val="00B11A24"/>
    <w:rsid w:val="00B361A1"/>
    <w:rsid w:val="00B5046B"/>
    <w:rsid w:val="00B6249E"/>
    <w:rsid w:val="00B631CF"/>
    <w:rsid w:val="00B85DDA"/>
    <w:rsid w:val="00C75377"/>
    <w:rsid w:val="00C83FD1"/>
    <w:rsid w:val="00C907A1"/>
    <w:rsid w:val="00C959A0"/>
    <w:rsid w:val="00CF6E8E"/>
    <w:rsid w:val="00D33308"/>
    <w:rsid w:val="00D54B87"/>
    <w:rsid w:val="00D64F64"/>
    <w:rsid w:val="00D74FAF"/>
    <w:rsid w:val="00DB4171"/>
    <w:rsid w:val="00DC2B81"/>
    <w:rsid w:val="00E73894"/>
    <w:rsid w:val="00E7571E"/>
    <w:rsid w:val="00EE786F"/>
    <w:rsid w:val="00F03446"/>
    <w:rsid w:val="00F4135E"/>
    <w:rsid w:val="00FD08A2"/>
    <w:rsid w:val="00FD52E6"/>
    <w:rsid w:val="00FE3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42239"/>
    <w:pPr>
      <w:tabs>
        <w:tab w:val="center" w:pos="4320"/>
        <w:tab w:val="right" w:pos="864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rsid w:val="00542239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AE3A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</dc:creator>
  <cp:keywords/>
  <dc:description/>
  <cp:lastModifiedBy>George Dewey</cp:lastModifiedBy>
  <cp:revision>4</cp:revision>
  <cp:lastPrinted>2017-07-10T15:39:00Z</cp:lastPrinted>
  <dcterms:created xsi:type="dcterms:W3CDTF">2018-02-12T14:36:00Z</dcterms:created>
  <dcterms:modified xsi:type="dcterms:W3CDTF">2018-04-19T18:56:00Z</dcterms:modified>
</cp:coreProperties>
</file>