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8ED" w:rsidRPr="0035788E" w:rsidRDefault="0035788E" w:rsidP="005808ED">
      <w:pPr>
        <w:pStyle w:val="NormalWeb"/>
        <w:rPr>
          <w:color w:val="000000"/>
        </w:rPr>
      </w:pPr>
      <w:r>
        <w:rPr>
          <w:rStyle w:val="Strong"/>
          <w:color w:val="000000"/>
        </w:rPr>
        <w:tab/>
      </w:r>
      <w:r w:rsidR="005808ED" w:rsidRPr="0035788E">
        <w:rPr>
          <w:rStyle w:val="Strong"/>
          <w:color w:val="000000"/>
        </w:rPr>
        <w:t>Peer support</w:t>
      </w:r>
      <w:r w:rsidR="005808ED" w:rsidRPr="0035788E">
        <w:rPr>
          <w:rStyle w:val="apple-converted-space"/>
          <w:color w:val="000000"/>
        </w:rPr>
        <w:t> </w:t>
      </w:r>
      <w:r w:rsidR="005808ED" w:rsidRPr="0035788E">
        <w:rPr>
          <w:color w:val="000000"/>
        </w:rPr>
        <w:t>is getting help from someone who has been there. People with similar experiences may be able to listen, give hope and guidance toward recovery in a way that is different, and may be just as valuable, as professional services. Peer services include mutual support groups, peer-run programs and services in traditional mental health agencies provided by peer support specialists. While peer support groups may be composed entirely of people who have simply learned through their own experience, some types of peer providers undergo training and certification to qualify. In addition to direct services, many peer-run organizations advocate to improve opportunities for people recovering from mental illnesses. </w:t>
      </w:r>
    </w:p>
    <w:p w:rsidR="005808ED" w:rsidRPr="0035788E" w:rsidRDefault="0035788E" w:rsidP="005808ED">
      <w:pPr>
        <w:pStyle w:val="NormalWeb"/>
        <w:rPr>
          <w:color w:val="000000"/>
        </w:rPr>
      </w:pPr>
      <w:r>
        <w:rPr>
          <w:color w:val="000000"/>
        </w:rPr>
        <w:tab/>
      </w:r>
      <w:r w:rsidR="005808ED" w:rsidRPr="0035788E">
        <w:rPr>
          <w:color w:val="000000"/>
        </w:rPr>
        <w:t>A</w:t>
      </w:r>
      <w:r w:rsidR="005808ED" w:rsidRPr="0035788E">
        <w:rPr>
          <w:rStyle w:val="apple-converted-space"/>
          <w:color w:val="000000"/>
        </w:rPr>
        <w:t> </w:t>
      </w:r>
      <w:r w:rsidR="005808ED" w:rsidRPr="0035788E">
        <w:rPr>
          <w:rStyle w:val="Strong"/>
          <w:color w:val="000000"/>
        </w:rPr>
        <w:t>peer support group</w:t>
      </w:r>
      <w:r w:rsidR="005808ED" w:rsidRPr="0035788E">
        <w:rPr>
          <w:rStyle w:val="apple-converted-space"/>
          <w:color w:val="000000"/>
        </w:rPr>
        <w:t> </w:t>
      </w:r>
      <w:r w:rsidR="005808ED" w:rsidRPr="0035788E">
        <w:rPr>
          <w:color w:val="000000"/>
        </w:rPr>
        <w:t>is a voluntary gathering of people with similar challenges, usually weekly or monthly for an hour or two, to share experiences and coping strategies and offer understanding.</w:t>
      </w:r>
      <w:r w:rsidR="005808ED" w:rsidRPr="0035788E">
        <w:rPr>
          <w:rStyle w:val="apple-converted-space"/>
          <w:color w:val="000000"/>
        </w:rPr>
        <w:t> </w:t>
      </w:r>
      <w:hyperlink r:id="rId5" w:history="1">
        <w:r w:rsidR="005808ED" w:rsidRPr="0035788E">
          <w:rPr>
            <w:rStyle w:val="Hyperlink"/>
            <w:b/>
            <w:bCs/>
            <w:color w:val="0033CC"/>
            <w:u w:val="none"/>
          </w:rPr>
          <w:t>NAMI Connection</w:t>
        </w:r>
      </w:hyperlink>
      <w:r w:rsidR="005808ED" w:rsidRPr="0035788E">
        <w:rPr>
          <w:rStyle w:val="apple-converted-space"/>
          <w:color w:val="000000"/>
        </w:rPr>
        <w:t> </w:t>
      </w:r>
      <w:r w:rsidR="005808ED" w:rsidRPr="0035788E">
        <w:rPr>
          <w:color w:val="000000"/>
        </w:rPr>
        <w:t>is one type of peer support group in which trained facilitators, who themselves have lived experience with mental illness, guide group members to listen and provide supportive, meaningful feedback to each other. </w:t>
      </w:r>
    </w:p>
    <w:p w:rsidR="005808ED" w:rsidRPr="0035788E" w:rsidRDefault="0035788E" w:rsidP="005808ED">
      <w:pPr>
        <w:pStyle w:val="NormalWeb"/>
        <w:rPr>
          <w:color w:val="000000"/>
        </w:rPr>
      </w:pPr>
      <w:r>
        <w:rPr>
          <w:rStyle w:val="Strong"/>
          <w:color w:val="000000"/>
        </w:rPr>
        <w:tab/>
      </w:r>
      <w:r w:rsidR="005808ED" w:rsidRPr="0035788E">
        <w:rPr>
          <w:rStyle w:val="Strong"/>
          <w:color w:val="000000"/>
        </w:rPr>
        <w:t>Peer-run services</w:t>
      </w:r>
      <w:r w:rsidR="005808ED" w:rsidRPr="0035788E">
        <w:rPr>
          <w:rStyle w:val="apple-converted-space"/>
          <w:b/>
          <w:bCs/>
          <w:color w:val="000000"/>
        </w:rPr>
        <w:t> </w:t>
      </w:r>
      <w:r w:rsidR="005808ED" w:rsidRPr="0035788E">
        <w:rPr>
          <w:color w:val="000000"/>
        </w:rPr>
        <w:t>are mental health programs where the staff uses information, skills and resources they have gained in their recovery to help others. Peer services are based on principles of empowerment, choice, mutual help and recovery. The goal of peer-run programs is to create a supportive place in which people can find understanding peers, can learn recovery skills and can help others. Common types of peer-run programs include, but are not limited to:</w:t>
      </w:r>
    </w:p>
    <w:p w:rsidR="005808ED" w:rsidRPr="0035788E" w:rsidRDefault="005808ED" w:rsidP="0035788E">
      <w:pPr>
        <w:pStyle w:val="NormalWeb"/>
        <w:numPr>
          <w:ilvl w:val="0"/>
          <w:numId w:val="1"/>
        </w:numPr>
        <w:rPr>
          <w:color w:val="000000"/>
        </w:rPr>
      </w:pPr>
      <w:r w:rsidRPr="0035788E">
        <w:rPr>
          <w:rStyle w:val="Emphasis"/>
          <w:color w:val="000000"/>
        </w:rPr>
        <w:t>Drop-in or peer support center:</w:t>
      </w:r>
      <w:r w:rsidRPr="0035788E">
        <w:rPr>
          <w:rStyle w:val="apple-converted-space"/>
          <w:i/>
          <w:iCs/>
          <w:color w:val="000000"/>
        </w:rPr>
        <w:t> </w:t>
      </w:r>
      <w:r w:rsidRPr="0035788E">
        <w:rPr>
          <w:color w:val="000000"/>
        </w:rPr>
        <w:t>for friendship, peer counseling, recovery learning and skill-building, wellness supports, community-based activities and connection to services. Often open in evenings and weekends as well as during the business day, peer support centers serve as a “home away from home.”</w:t>
      </w:r>
    </w:p>
    <w:p w:rsidR="005808ED" w:rsidRPr="0035788E" w:rsidRDefault="005808ED" w:rsidP="0035788E">
      <w:pPr>
        <w:pStyle w:val="NormalWeb"/>
        <w:numPr>
          <w:ilvl w:val="0"/>
          <w:numId w:val="1"/>
        </w:numPr>
        <w:rPr>
          <w:color w:val="000000"/>
        </w:rPr>
      </w:pPr>
      <w:r w:rsidRPr="0035788E">
        <w:rPr>
          <w:rStyle w:val="Emphasis"/>
          <w:color w:val="000000"/>
        </w:rPr>
        <w:t>Peer mentoring, peer case management:</w:t>
      </w:r>
      <w:r w:rsidRPr="0035788E">
        <w:rPr>
          <w:rStyle w:val="apple-converted-space"/>
          <w:color w:val="000000"/>
        </w:rPr>
        <w:t> </w:t>
      </w:r>
      <w:r w:rsidRPr="0035788E">
        <w:rPr>
          <w:color w:val="000000"/>
        </w:rPr>
        <w:t>On a one-to-one basis, certified peer support specialists listen, help plan recovery and help identify supporters. Peer mentoring can occur at a center or in the community. Peer mentors not only teach coping skills, but also emphasize physical wellness through careful attention to sleep, good nutrition, stress management and social support.</w:t>
      </w:r>
    </w:p>
    <w:p w:rsidR="005808ED" w:rsidRPr="005808ED" w:rsidRDefault="005808ED" w:rsidP="005808ED">
      <w:pPr>
        <w:spacing w:before="100" w:beforeAutospacing="1" w:after="100" w:afterAutospacing="1" w:line="240" w:lineRule="auto"/>
        <w:outlineLvl w:val="0"/>
        <w:rPr>
          <w:rFonts w:ascii="Arial" w:eastAsia="Times New Roman" w:hAnsi="Arial" w:cs="Arial"/>
          <w:b/>
          <w:bCs/>
          <w:color w:val="990000"/>
          <w:kern w:val="36"/>
          <w:sz w:val="15"/>
          <w:szCs w:val="15"/>
        </w:rPr>
      </w:pPr>
      <w:r w:rsidRPr="005808ED">
        <w:rPr>
          <w:rFonts w:ascii="Arial" w:eastAsia="Times New Roman" w:hAnsi="Arial" w:cs="Arial"/>
          <w:b/>
          <w:bCs/>
          <w:color w:val="990000"/>
          <w:kern w:val="36"/>
          <w:sz w:val="15"/>
          <w:szCs w:val="15"/>
        </w:rPr>
        <w:t>NAMI New York City Metro</w:t>
      </w:r>
    </w:p>
    <w:tbl>
      <w:tblPr>
        <w:tblW w:w="2956" w:type="pct"/>
        <w:tblCellSpacing w:w="15" w:type="dxa"/>
        <w:shd w:val="clear" w:color="auto" w:fill="EEF2FB"/>
        <w:tblCellMar>
          <w:top w:w="15" w:type="dxa"/>
          <w:left w:w="15" w:type="dxa"/>
          <w:bottom w:w="15" w:type="dxa"/>
          <w:right w:w="15" w:type="dxa"/>
        </w:tblCellMar>
        <w:tblLook w:val="04A0"/>
      </w:tblPr>
      <w:tblGrid>
        <w:gridCol w:w="5587"/>
      </w:tblGrid>
      <w:tr w:rsidR="005808ED" w:rsidRPr="005808ED" w:rsidTr="005808ED">
        <w:trPr>
          <w:trHeight w:val="2408"/>
          <w:tblCellSpacing w:w="15" w:type="dxa"/>
        </w:trPr>
        <w:tc>
          <w:tcPr>
            <w:tcW w:w="4946" w:type="pct"/>
            <w:shd w:val="clear" w:color="auto" w:fill="auto"/>
            <w:hideMark/>
          </w:tcPr>
          <w:tbl>
            <w:tblPr>
              <w:tblW w:w="4531" w:type="pct"/>
              <w:tblCellSpacing w:w="0" w:type="dxa"/>
              <w:tblCellMar>
                <w:top w:w="60" w:type="dxa"/>
                <w:left w:w="60" w:type="dxa"/>
                <w:bottom w:w="60" w:type="dxa"/>
                <w:right w:w="60" w:type="dxa"/>
              </w:tblCellMar>
              <w:tblLook w:val="04A0"/>
            </w:tblPr>
            <w:tblGrid>
              <w:gridCol w:w="634"/>
              <w:gridCol w:w="4347"/>
            </w:tblGrid>
            <w:tr w:rsidR="005808ED" w:rsidRPr="005808ED" w:rsidTr="005808ED">
              <w:trPr>
                <w:trHeight w:val="143"/>
                <w:tblCellSpacing w:w="0" w:type="dxa"/>
              </w:trPr>
              <w:tc>
                <w:tcPr>
                  <w:tcW w:w="0" w:type="auto"/>
                  <w:vAlign w:val="center"/>
                  <w:hideMark/>
                </w:tcPr>
                <w:p w:rsidR="005808ED" w:rsidRPr="005808ED" w:rsidRDefault="005808ED" w:rsidP="005808ED">
                  <w:pPr>
                    <w:spacing w:after="0" w:line="240" w:lineRule="auto"/>
                    <w:rPr>
                      <w:rFonts w:ascii="Arial" w:eastAsia="Times New Roman" w:hAnsi="Arial" w:cs="Arial"/>
                      <w:color w:val="000000"/>
                      <w:sz w:val="12"/>
                      <w:szCs w:val="12"/>
                    </w:rPr>
                  </w:pPr>
                  <w:r w:rsidRPr="005808ED">
                    <w:rPr>
                      <w:rFonts w:ascii="Arial" w:eastAsia="Times New Roman" w:hAnsi="Arial" w:cs="Arial"/>
                      <w:b/>
                      <w:bCs/>
                      <w:color w:val="000000"/>
                      <w:sz w:val="12"/>
                    </w:rPr>
                    <w:t>Phone:</w:t>
                  </w:r>
                </w:p>
              </w:tc>
              <w:tc>
                <w:tcPr>
                  <w:tcW w:w="0" w:type="auto"/>
                  <w:vAlign w:val="center"/>
                  <w:hideMark/>
                </w:tcPr>
                <w:p w:rsidR="005808ED" w:rsidRPr="005808ED" w:rsidRDefault="005808ED" w:rsidP="005808ED">
                  <w:pPr>
                    <w:spacing w:after="0" w:line="240" w:lineRule="auto"/>
                    <w:rPr>
                      <w:rFonts w:ascii="Arial" w:eastAsia="Times New Roman" w:hAnsi="Arial" w:cs="Arial"/>
                      <w:color w:val="000000"/>
                      <w:sz w:val="12"/>
                      <w:szCs w:val="12"/>
                    </w:rPr>
                  </w:pPr>
                  <w:r w:rsidRPr="005808ED">
                    <w:rPr>
                      <w:rFonts w:ascii="Arial" w:eastAsia="Times New Roman" w:hAnsi="Arial" w:cs="Arial"/>
                      <w:color w:val="000000"/>
                      <w:sz w:val="12"/>
                      <w:szCs w:val="12"/>
                    </w:rPr>
                    <w:t>(212) 684-3365</w:t>
                  </w:r>
                </w:p>
              </w:tc>
            </w:tr>
            <w:tr w:rsidR="005808ED" w:rsidRPr="005808ED" w:rsidTr="005808ED">
              <w:trPr>
                <w:trHeight w:val="143"/>
                <w:tblCellSpacing w:w="0" w:type="dxa"/>
              </w:trPr>
              <w:tc>
                <w:tcPr>
                  <w:tcW w:w="0" w:type="auto"/>
                  <w:vAlign w:val="center"/>
                  <w:hideMark/>
                </w:tcPr>
                <w:p w:rsidR="005808ED" w:rsidRPr="005808ED" w:rsidRDefault="005808ED" w:rsidP="005808ED">
                  <w:pPr>
                    <w:spacing w:after="0" w:line="240" w:lineRule="auto"/>
                    <w:rPr>
                      <w:rFonts w:ascii="Arial" w:eastAsia="Times New Roman" w:hAnsi="Arial" w:cs="Arial"/>
                      <w:color w:val="000000"/>
                      <w:sz w:val="12"/>
                      <w:szCs w:val="12"/>
                    </w:rPr>
                  </w:pPr>
                  <w:r w:rsidRPr="005808ED">
                    <w:rPr>
                      <w:rFonts w:ascii="Arial" w:eastAsia="Times New Roman" w:hAnsi="Arial" w:cs="Arial"/>
                      <w:b/>
                      <w:bCs/>
                      <w:color w:val="000000"/>
                      <w:sz w:val="12"/>
                    </w:rPr>
                    <w:t>Email:</w:t>
                  </w:r>
                </w:p>
              </w:tc>
              <w:tc>
                <w:tcPr>
                  <w:tcW w:w="0" w:type="auto"/>
                  <w:vAlign w:val="center"/>
                  <w:hideMark/>
                </w:tcPr>
                <w:p w:rsidR="005808ED" w:rsidRPr="005808ED" w:rsidRDefault="005808ED" w:rsidP="005808ED">
                  <w:pPr>
                    <w:spacing w:after="0" w:line="240" w:lineRule="auto"/>
                    <w:rPr>
                      <w:rFonts w:ascii="Arial" w:eastAsia="Times New Roman" w:hAnsi="Arial" w:cs="Arial"/>
                      <w:color w:val="000000"/>
                      <w:sz w:val="12"/>
                      <w:szCs w:val="12"/>
                    </w:rPr>
                  </w:pPr>
                  <w:hyperlink r:id="rId6" w:history="1">
                    <w:r w:rsidRPr="005808ED">
                      <w:rPr>
                        <w:rFonts w:ascii="Arial" w:eastAsia="Times New Roman" w:hAnsi="Arial" w:cs="Arial"/>
                        <w:b/>
                        <w:bCs/>
                        <w:color w:val="0033CC"/>
                        <w:sz w:val="12"/>
                      </w:rPr>
                      <w:t>helpline@naminyc.org</w:t>
                    </w:r>
                  </w:hyperlink>
                </w:p>
              </w:tc>
            </w:tr>
            <w:tr w:rsidR="005808ED" w:rsidRPr="005808ED" w:rsidTr="005808ED">
              <w:trPr>
                <w:trHeight w:val="133"/>
                <w:tblCellSpacing w:w="0" w:type="dxa"/>
              </w:trPr>
              <w:tc>
                <w:tcPr>
                  <w:tcW w:w="0" w:type="auto"/>
                  <w:hideMark/>
                </w:tcPr>
                <w:p w:rsidR="005808ED" w:rsidRPr="005808ED" w:rsidRDefault="005808ED" w:rsidP="005808ED">
                  <w:pPr>
                    <w:spacing w:after="0" w:line="240" w:lineRule="auto"/>
                    <w:rPr>
                      <w:rFonts w:ascii="Arial" w:eastAsia="Times New Roman" w:hAnsi="Arial" w:cs="Arial"/>
                      <w:color w:val="000000"/>
                      <w:sz w:val="12"/>
                      <w:szCs w:val="12"/>
                    </w:rPr>
                  </w:pPr>
                  <w:r w:rsidRPr="005808ED">
                    <w:rPr>
                      <w:rFonts w:ascii="Arial" w:eastAsia="Times New Roman" w:hAnsi="Arial" w:cs="Arial"/>
                      <w:b/>
                      <w:bCs/>
                      <w:color w:val="000000"/>
                      <w:sz w:val="12"/>
                    </w:rPr>
                    <w:t>Serving:</w:t>
                  </w:r>
                </w:p>
              </w:tc>
              <w:tc>
                <w:tcPr>
                  <w:tcW w:w="0" w:type="auto"/>
                  <w:hideMark/>
                </w:tcPr>
                <w:p w:rsidR="005808ED" w:rsidRPr="005808ED" w:rsidRDefault="005808ED" w:rsidP="005808ED">
                  <w:pPr>
                    <w:spacing w:after="0" w:line="240" w:lineRule="auto"/>
                    <w:rPr>
                      <w:rFonts w:ascii="Arial" w:eastAsia="Times New Roman" w:hAnsi="Arial" w:cs="Arial"/>
                      <w:color w:val="000000"/>
                      <w:sz w:val="12"/>
                      <w:szCs w:val="12"/>
                    </w:rPr>
                  </w:pPr>
                  <w:r w:rsidRPr="005808ED">
                    <w:rPr>
                      <w:rFonts w:ascii="Arial" w:eastAsia="Times New Roman" w:hAnsi="Arial" w:cs="Arial"/>
                      <w:color w:val="000000"/>
                      <w:sz w:val="12"/>
                      <w:szCs w:val="12"/>
                    </w:rPr>
                    <w:t>Bronx, Brooklyn, Kings, Manhattan, New York, Queens, Richmond, Staten Island</w:t>
                  </w:r>
                </w:p>
              </w:tc>
            </w:tr>
            <w:tr w:rsidR="005808ED" w:rsidRPr="005808ED" w:rsidTr="005808ED">
              <w:trPr>
                <w:trHeight w:val="143"/>
                <w:tblCellSpacing w:w="0" w:type="dxa"/>
              </w:trPr>
              <w:tc>
                <w:tcPr>
                  <w:tcW w:w="0" w:type="auto"/>
                  <w:gridSpan w:val="2"/>
                  <w:vAlign w:val="center"/>
                  <w:hideMark/>
                </w:tcPr>
                <w:p w:rsidR="005808ED" w:rsidRPr="005808ED" w:rsidRDefault="005808ED" w:rsidP="005808ED">
                  <w:pPr>
                    <w:spacing w:after="0" w:line="240" w:lineRule="auto"/>
                    <w:rPr>
                      <w:rFonts w:ascii="Arial" w:eastAsia="Times New Roman" w:hAnsi="Arial" w:cs="Arial"/>
                      <w:color w:val="000000"/>
                      <w:sz w:val="12"/>
                      <w:szCs w:val="12"/>
                    </w:rPr>
                  </w:pPr>
                  <w:r w:rsidRPr="005808ED">
                    <w:rPr>
                      <w:rFonts w:ascii="Arial" w:eastAsia="Times New Roman" w:hAnsi="Arial" w:cs="Arial"/>
                      <w:color w:val="000000"/>
                      <w:sz w:val="12"/>
                      <w:szCs w:val="12"/>
                    </w:rPr>
                    <w:t> </w:t>
                  </w:r>
                </w:p>
              </w:tc>
            </w:tr>
            <w:tr w:rsidR="005808ED" w:rsidRPr="005808ED" w:rsidTr="005808ED">
              <w:trPr>
                <w:trHeight w:val="184"/>
                <w:tblCellSpacing w:w="0" w:type="dxa"/>
              </w:trPr>
              <w:tc>
                <w:tcPr>
                  <w:tcW w:w="0" w:type="auto"/>
                  <w:gridSpan w:val="2"/>
                  <w:vAlign w:val="center"/>
                  <w:hideMark/>
                </w:tcPr>
                <w:p w:rsidR="005808ED" w:rsidRPr="005808ED" w:rsidRDefault="005808ED" w:rsidP="005808ED">
                  <w:pPr>
                    <w:spacing w:before="100" w:beforeAutospacing="1" w:after="100" w:afterAutospacing="1" w:line="240" w:lineRule="auto"/>
                    <w:outlineLvl w:val="0"/>
                    <w:rPr>
                      <w:rFonts w:ascii="Arial" w:eastAsia="Times New Roman" w:hAnsi="Arial" w:cs="Arial"/>
                      <w:b/>
                      <w:bCs/>
                      <w:color w:val="990000"/>
                      <w:kern w:val="36"/>
                      <w:sz w:val="15"/>
                      <w:szCs w:val="15"/>
                    </w:rPr>
                  </w:pPr>
                  <w:r w:rsidRPr="005808ED">
                    <w:rPr>
                      <w:rFonts w:ascii="Arial" w:eastAsia="Times New Roman" w:hAnsi="Arial" w:cs="Arial"/>
                      <w:b/>
                      <w:bCs/>
                      <w:color w:val="990000"/>
                      <w:kern w:val="36"/>
                      <w:sz w:val="15"/>
                      <w:szCs w:val="15"/>
                    </w:rPr>
                    <w:t>Contacts</w:t>
                  </w:r>
                </w:p>
              </w:tc>
            </w:tr>
            <w:tr w:rsidR="005808ED" w:rsidRPr="005808ED" w:rsidTr="005808ED">
              <w:trPr>
                <w:trHeight w:val="143"/>
                <w:tblCellSpacing w:w="0" w:type="dxa"/>
              </w:trPr>
              <w:tc>
                <w:tcPr>
                  <w:tcW w:w="0" w:type="auto"/>
                  <w:shd w:val="clear" w:color="auto" w:fill="auto"/>
                  <w:vAlign w:val="center"/>
                  <w:hideMark/>
                </w:tcPr>
                <w:p w:rsidR="005808ED" w:rsidRPr="005808ED" w:rsidRDefault="005808ED" w:rsidP="005808ED">
                  <w:pPr>
                    <w:spacing w:after="0" w:line="240" w:lineRule="auto"/>
                    <w:rPr>
                      <w:rFonts w:ascii="Arial" w:eastAsia="Times New Roman" w:hAnsi="Arial" w:cs="Arial"/>
                      <w:color w:val="000000"/>
                      <w:sz w:val="12"/>
                      <w:szCs w:val="12"/>
                    </w:rPr>
                  </w:pPr>
                  <w:r w:rsidRPr="005808ED">
                    <w:rPr>
                      <w:rFonts w:ascii="Arial" w:eastAsia="Times New Roman" w:hAnsi="Arial" w:cs="Arial"/>
                      <w:b/>
                      <w:bCs/>
                      <w:color w:val="000000"/>
                      <w:sz w:val="12"/>
                    </w:rPr>
                    <w:t>Name:</w:t>
                  </w:r>
                </w:p>
              </w:tc>
              <w:tc>
                <w:tcPr>
                  <w:tcW w:w="0" w:type="auto"/>
                  <w:shd w:val="clear" w:color="auto" w:fill="auto"/>
                  <w:vAlign w:val="center"/>
                  <w:hideMark/>
                </w:tcPr>
                <w:p w:rsidR="005808ED" w:rsidRPr="005808ED" w:rsidRDefault="005808ED" w:rsidP="005808ED">
                  <w:pPr>
                    <w:spacing w:after="0" w:line="240" w:lineRule="auto"/>
                    <w:rPr>
                      <w:rFonts w:ascii="Arial" w:eastAsia="Times New Roman" w:hAnsi="Arial" w:cs="Arial"/>
                      <w:color w:val="000000"/>
                      <w:sz w:val="12"/>
                      <w:szCs w:val="12"/>
                    </w:rPr>
                  </w:pPr>
                  <w:r w:rsidRPr="005808ED">
                    <w:rPr>
                      <w:rFonts w:ascii="Arial" w:eastAsia="Times New Roman" w:hAnsi="Arial" w:cs="Arial"/>
                      <w:color w:val="000000"/>
                      <w:sz w:val="12"/>
                      <w:szCs w:val="12"/>
                    </w:rPr>
                    <w:t>Ms. Wendy Brennan</w:t>
                  </w:r>
                </w:p>
              </w:tc>
            </w:tr>
            <w:tr w:rsidR="005808ED" w:rsidRPr="005808ED" w:rsidTr="005808ED">
              <w:trPr>
                <w:trHeight w:val="143"/>
                <w:tblCellSpacing w:w="0" w:type="dxa"/>
              </w:trPr>
              <w:tc>
                <w:tcPr>
                  <w:tcW w:w="0" w:type="auto"/>
                  <w:shd w:val="clear" w:color="auto" w:fill="auto"/>
                  <w:vAlign w:val="center"/>
                  <w:hideMark/>
                </w:tcPr>
                <w:p w:rsidR="005808ED" w:rsidRPr="005808ED" w:rsidRDefault="005808ED" w:rsidP="005808ED">
                  <w:pPr>
                    <w:spacing w:after="0" w:line="240" w:lineRule="auto"/>
                    <w:rPr>
                      <w:rFonts w:ascii="Arial" w:eastAsia="Times New Roman" w:hAnsi="Arial" w:cs="Arial"/>
                      <w:color w:val="000000"/>
                      <w:sz w:val="12"/>
                      <w:szCs w:val="12"/>
                    </w:rPr>
                  </w:pPr>
                  <w:r w:rsidRPr="005808ED">
                    <w:rPr>
                      <w:rFonts w:ascii="Arial" w:eastAsia="Times New Roman" w:hAnsi="Arial" w:cs="Arial"/>
                      <w:b/>
                      <w:bCs/>
                      <w:color w:val="000000"/>
                      <w:sz w:val="12"/>
                    </w:rPr>
                    <w:t>Position:</w:t>
                  </w:r>
                </w:p>
              </w:tc>
              <w:tc>
                <w:tcPr>
                  <w:tcW w:w="0" w:type="auto"/>
                  <w:shd w:val="clear" w:color="auto" w:fill="auto"/>
                  <w:vAlign w:val="center"/>
                  <w:hideMark/>
                </w:tcPr>
                <w:p w:rsidR="005808ED" w:rsidRPr="005808ED" w:rsidRDefault="005808ED" w:rsidP="005808ED">
                  <w:pPr>
                    <w:spacing w:after="0" w:line="240" w:lineRule="auto"/>
                    <w:rPr>
                      <w:rFonts w:ascii="Arial" w:eastAsia="Times New Roman" w:hAnsi="Arial" w:cs="Arial"/>
                      <w:color w:val="000000"/>
                      <w:sz w:val="12"/>
                      <w:szCs w:val="12"/>
                    </w:rPr>
                  </w:pPr>
                  <w:r w:rsidRPr="005808ED">
                    <w:rPr>
                      <w:rFonts w:ascii="Arial" w:eastAsia="Times New Roman" w:hAnsi="Arial" w:cs="Arial"/>
                      <w:color w:val="000000"/>
                      <w:sz w:val="12"/>
                      <w:szCs w:val="12"/>
                    </w:rPr>
                    <w:t>Executive Director</w:t>
                  </w:r>
                </w:p>
              </w:tc>
            </w:tr>
            <w:tr w:rsidR="005808ED" w:rsidRPr="005808ED" w:rsidTr="005808ED">
              <w:trPr>
                <w:trHeight w:val="143"/>
                <w:tblCellSpacing w:w="0" w:type="dxa"/>
              </w:trPr>
              <w:tc>
                <w:tcPr>
                  <w:tcW w:w="0" w:type="auto"/>
                  <w:shd w:val="clear" w:color="auto" w:fill="auto"/>
                  <w:vAlign w:val="center"/>
                  <w:hideMark/>
                </w:tcPr>
                <w:p w:rsidR="005808ED" w:rsidRPr="005808ED" w:rsidRDefault="005808ED" w:rsidP="005808ED">
                  <w:pPr>
                    <w:spacing w:after="0" w:line="240" w:lineRule="auto"/>
                    <w:rPr>
                      <w:rFonts w:ascii="Arial" w:eastAsia="Times New Roman" w:hAnsi="Arial" w:cs="Arial"/>
                      <w:color w:val="000000"/>
                      <w:sz w:val="12"/>
                      <w:szCs w:val="12"/>
                    </w:rPr>
                  </w:pPr>
                  <w:r w:rsidRPr="005808ED">
                    <w:rPr>
                      <w:rFonts w:ascii="Arial" w:eastAsia="Times New Roman" w:hAnsi="Arial" w:cs="Arial"/>
                      <w:b/>
                      <w:bCs/>
                      <w:color w:val="000000"/>
                      <w:sz w:val="12"/>
                    </w:rPr>
                    <w:t>Email:</w:t>
                  </w:r>
                </w:p>
              </w:tc>
              <w:tc>
                <w:tcPr>
                  <w:tcW w:w="0" w:type="auto"/>
                  <w:shd w:val="clear" w:color="auto" w:fill="auto"/>
                  <w:vAlign w:val="center"/>
                  <w:hideMark/>
                </w:tcPr>
                <w:p w:rsidR="005808ED" w:rsidRPr="005808ED" w:rsidRDefault="005808ED" w:rsidP="005808ED">
                  <w:pPr>
                    <w:spacing w:after="0" w:line="240" w:lineRule="auto"/>
                    <w:rPr>
                      <w:rFonts w:ascii="Arial" w:eastAsia="Times New Roman" w:hAnsi="Arial" w:cs="Arial"/>
                      <w:color w:val="000000"/>
                      <w:sz w:val="12"/>
                      <w:szCs w:val="12"/>
                    </w:rPr>
                  </w:pPr>
                  <w:hyperlink r:id="rId7" w:history="1">
                    <w:r w:rsidRPr="005808ED">
                      <w:rPr>
                        <w:rFonts w:ascii="Arial" w:eastAsia="Times New Roman" w:hAnsi="Arial" w:cs="Arial"/>
                        <w:b/>
                        <w:bCs/>
                        <w:color w:val="0033CC"/>
                        <w:sz w:val="12"/>
                      </w:rPr>
                      <w:t>wbrennan@naminyc.org</w:t>
                    </w:r>
                  </w:hyperlink>
                </w:p>
              </w:tc>
            </w:tr>
            <w:tr w:rsidR="005808ED" w:rsidRPr="005808ED" w:rsidTr="005808ED">
              <w:trPr>
                <w:trHeight w:val="143"/>
                <w:tblCellSpacing w:w="0" w:type="dxa"/>
              </w:trPr>
              <w:tc>
                <w:tcPr>
                  <w:tcW w:w="0" w:type="auto"/>
                  <w:shd w:val="clear" w:color="auto" w:fill="auto"/>
                  <w:vAlign w:val="center"/>
                  <w:hideMark/>
                </w:tcPr>
                <w:p w:rsidR="005808ED" w:rsidRPr="005808ED" w:rsidRDefault="005808ED" w:rsidP="005808ED">
                  <w:pPr>
                    <w:spacing w:after="0" w:line="240" w:lineRule="auto"/>
                    <w:rPr>
                      <w:rFonts w:ascii="Arial" w:eastAsia="Times New Roman" w:hAnsi="Arial" w:cs="Arial"/>
                      <w:color w:val="000000"/>
                      <w:sz w:val="12"/>
                      <w:szCs w:val="12"/>
                    </w:rPr>
                  </w:pPr>
                  <w:r w:rsidRPr="005808ED">
                    <w:rPr>
                      <w:rFonts w:ascii="Arial" w:eastAsia="Times New Roman" w:hAnsi="Arial" w:cs="Arial"/>
                      <w:b/>
                      <w:bCs/>
                      <w:color w:val="000000"/>
                      <w:sz w:val="12"/>
                    </w:rPr>
                    <w:t>Phone:</w:t>
                  </w:r>
                </w:p>
              </w:tc>
              <w:tc>
                <w:tcPr>
                  <w:tcW w:w="0" w:type="auto"/>
                  <w:shd w:val="clear" w:color="auto" w:fill="auto"/>
                  <w:vAlign w:val="center"/>
                  <w:hideMark/>
                </w:tcPr>
                <w:p w:rsidR="005808ED" w:rsidRPr="005808ED" w:rsidRDefault="005808ED" w:rsidP="005808ED">
                  <w:pPr>
                    <w:spacing w:after="0" w:line="240" w:lineRule="auto"/>
                    <w:rPr>
                      <w:rFonts w:ascii="Arial" w:eastAsia="Times New Roman" w:hAnsi="Arial" w:cs="Arial"/>
                      <w:color w:val="000000"/>
                      <w:sz w:val="12"/>
                      <w:szCs w:val="12"/>
                    </w:rPr>
                  </w:pPr>
                  <w:r w:rsidRPr="005808ED">
                    <w:rPr>
                      <w:rFonts w:ascii="Arial" w:eastAsia="Times New Roman" w:hAnsi="Arial" w:cs="Arial"/>
                      <w:color w:val="000000"/>
                      <w:sz w:val="12"/>
                      <w:szCs w:val="12"/>
                    </w:rPr>
                    <w:t>(212) 684-3365</w:t>
                  </w:r>
                </w:p>
              </w:tc>
            </w:tr>
          </w:tbl>
          <w:p w:rsidR="005808ED" w:rsidRPr="005808ED" w:rsidRDefault="005808ED" w:rsidP="005808ED">
            <w:pPr>
              <w:spacing w:after="0" w:line="240" w:lineRule="auto"/>
              <w:rPr>
                <w:rFonts w:ascii="Arial" w:eastAsia="Times New Roman" w:hAnsi="Arial" w:cs="Arial"/>
                <w:color w:val="000000"/>
                <w:sz w:val="12"/>
                <w:szCs w:val="12"/>
              </w:rPr>
            </w:pPr>
          </w:p>
        </w:tc>
      </w:tr>
    </w:tbl>
    <w:p w:rsidR="00CB5F3D" w:rsidRDefault="00CB5F3D" w:rsidP="005808ED"/>
    <w:sectPr w:rsidR="00CB5F3D" w:rsidSect="005808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C3C8B"/>
    <w:multiLevelType w:val="hybridMultilevel"/>
    <w:tmpl w:val="13DC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5808ED"/>
    <w:rsid w:val="0035788E"/>
    <w:rsid w:val="005808ED"/>
    <w:rsid w:val="00CB5F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F3D"/>
  </w:style>
  <w:style w:type="paragraph" w:styleId="Heading1">
    <w:name w:val="heading 1"/>
    <w:basedOn w:val="Normal"/>
    <w:link w:val="Heading1Char"/>
    <w:uiPriority w:val="9"/>
    <w:qFormat/>
    <w:rsid w:val="005808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8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8ED"/>
    <w:rPr>
      <w:b/>
      <w:bCs/>
    </w:rPr>
  </w:style>
  <w:style w:type="character" w:customStyle="1" w:styleId="apple-converted-space">
    <w:name w:val="apple-converted-space"/>
    <w:basedOn w:val="DefaultParagraphFont"/>
    <w:rsid w:val="005808ED"/>
  </w:style>
  <w:style w:type="character" w:styleId="Hyperlink">
    <w:name w:val="Hyperlink"/>
    <w:basedOn w:val="DefaultParagraphFont"/>
    <w:uiPriority w:val="99"/>
    <w:semiHidden/>
    <w:unhideWhenUsed/>
    <w:rsid w:val="005808ED"/>
    <w:rPr>
      <w:color w:val="0000FF"/>
      <w:u w:val="single"/>
    </w:rPr>
  </w:style>
  <w:style w:type="character" w:styleId="Emphasis">
    <w:name w:val="Emphasis"/>
    <w:basedOn w:val="DefaultParagraphFont"/>
    <w:uiPriority w:val="20"/>
    <w:qFormat/>
    <w:rsid w:val="005808ED"/>
    <w:rPr>
      <w:i/>
      <w:iCs/>
    </w:rPr>
  </w:style>
  <w:style w:type="character" w:customStyle="1" w:styleId="Heading1Char">
    <w:name w:val="Heading 1 Char"/>
    <w:basedOn w:val="DefaultParagraphFont"/>
    <w:link w:val="Heading1"/>
    <w:uiPriority w:val="9"/>
    <w:rsid w:val="005808E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848179070">
      <w:bodyDiv w:val="1"/>
      <w:marLeft w:val="0"/>
      <w:marRight w:val="0"/>
      <w:marTop w:val="0"/>
      <w:marBottom w:val="0"/>
      <w:divBdr>
        <w:top w:val="none" w:sz="0" w:space="0" w:color="auto"/>
        <w:left w:val="none" w:sz="0" w:space="0" w:color="auto"/>
        <w:bottom w:val="none" w:sz="0" w:space="0" w:color="auto"/>
        <w:right w:val="none" w:sz="0" w:space="0" w:color="auto"/>
      </w:divBdr>
    </w:div>
    <w:div w:id="1830749752">
      <w:bodyDiv w:val="1"/>
      <w:marLeft w:val="0"/>
      <w:marRight w:val="0"/>
      <w:marTop w:val="0"/>
      <w:marBottom w:val="0"/>
      <w:divBdr>
        <w:top w:val="none" w:sz="0" w:space="0" w:color="auto"/>
        <w:left w:val="none" w:sz="0" w:space="0" w:color="auto"/>
        <w:bottom w:val="none" w:sz="0" w:space="0" w:color="auto"/>
        <w:right w:val="none" w:sz="0" w:space="0" w:color="auto"/>
      </w:divBdr>
    </w:div>
    <w:div w:id="195574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brennan@naminy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lpline@naminyc.org" TargetMode="External"/><Relationship Id="rId5" Type="http://schemas.openxmlformats.org/officeDocument/2006/relationships/hyperlink" Target="http://www.nami.org/template.cfm?section=nami_conne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dc:creator>
  <cp:lastModifiedBy>Spencer</cp:lastModifiedBy>
  <cp:revision>1</cp:revision>
  <dcterms:created xsi:type="dcterms:W3CDTF">2013-07-31T16:20:00Z</dcterms:created>
  <dcterms:modified xsi:type="dcterms:W3CDTF">2013-07-31T16:36:00Z</dcterms:modified>
</cp:coreProperties>
</file>