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b2fd66ebc6a645f8" /><Relationship Type="http://schemas.openxmlformats.org/package/2006/relationships/metadata/core-properties" Target="/docProps/core.xml" Id="Rc4cb9edb0c0443d1" /><Relationship Type="http://schemas.openxmlformats.org/officeDocument/2006/relationships/extended-properties" Target="/docProps/app.xml" Id="R5d02a677c0864a4f" /><Relationship Type="http://schemas.openxmlformats.org/officeDocument/2006/relationships/custom-properties" Target="/docProps/custom.xml" Id="Rb491215cc6a14bd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2"/>
        </w:rPr>
        <w:t xml:space="preserve">Social Network Ads — Binary Classification ML Project Report</w:t>
      </w:r>
    </w:p>
    <w:p w14:paraId="00100002" w14:textId="00100003">
      <w:pPr>
        <w:pStyle w:val="Normal"/>
        <w:spacing w:after="120"/>
        <w:jc w:val="center"/>
      </w:pPr>
      <w:r>
        <w:rPr>
          <w:color w:val="57606A"/>
          <w:sz w:val="22"/>
        </w:rPr>
        <w:t xml:space="preserve">Prepared using Python · Flask · scikit-learn · matplotlib · seaborn</w:t>
      </w:r>
    </w:p>
    <w:p w14:paraId="00100004" w14:textId="00100005">
      <w:pPr>
        <w:pStyle w:val="Normal"/>
        <w:spacing w:after="480"/>
        <w:jc w:val="center"/>
      </w:pPr>
      <w:r>
        <w:rPr>
          <w:color w:val="57606A"/>
          <w:sz w:val="20"/>
        </w:rPr>
        <w:t xml:space="preserve">Version 1.0</w:t>
      </w:r>
    </w:p>
    <w:p w14:paraId="00100006" w14:textId="00100007">
      <w:pPr>
        <w:pStyle w:val="Heading1"/>
        <w:spacing w:before="240" w:after="120"/>
      </w:pPr>
      <w:r>
        <w:rPr>
          <w:b/>
          <w:sz w:val="36"/>
        </w:rPr>
        <w:t xml:space="preserve">Table of Contents</w:t>
      </w:r>
    </w:p>
    <w:p w14:paraId="00100008" w14:textId="00100009">
      <w:pPr>
        <w:pStyle w:val="Normal"/>
        <w:spacing w:after="60"/>
      </w:pPr>
      <w:r>
        <w:rPr>
          <w:sz w:val="22"/>
        </w:rPr>
        <w:t xml:space="preserve">1. Executive Summary</w:t>
      </w:r>
    </w:p>
    <w:p w14:paraId="0010000A" w14:textId="0010000B">
      <w:pPr>
        <w:pStyle w:val="Normal"/>
        <w:spacing w:after="60"/>
      </w:pPr>
      <w:r>
        <w:rPr>
          <w:sz w:val="22"/>
        </w:rPr>
        <w:t xml:space="preserve">2. Project Overview</w:t>
      </w:r>
    </w:p>
    <w:p w14:paraId="0010000C" w14:textId="0010000D">
      <w:pPr>
        <w:pStyle w:val="Normal"/>
        <w:spacing w:after="60"/>
      </w:pPr>
      <w:r>
        <w:rPr>
          <w:sz w:val="22"/>
        </w:rPr>
        <w:t xml:space="preserve">3. Dataset Description</w:t>
      </w:r>
    </w:p>
    <w:p w14:paraId="0010000E" w14:textId="0010000F">
      <w:pPr>
        <w:pStyle w:val="Normal"/>
        <w:spacing w:after="60"/>
      </w:pPr>
      <w:r>
        <w:rPr>
          <w:sz w:val="22"/>
        </w:rPr>
        <w:t xml:space="preserve">4. Technology Stack</w:t>
      </w:r>
    </w:p>
    <w:p w14:paraId="00100010" w14:textId="00100011">
      <w:pPr>
        <w:pStyle w:val="Normal"/>
        <w:spacing w:after="60"/>
      </w:pPr>
      <w:r>
        <w:rPr>
          <w:sz w:val="22"/>
        </w:rPr>
        <w:t xml:space="preserve">5. Machine Learning Pipeline</w:t>
      </w:r>
    </w:p>
    <w:p w14:paraId="00100012" w14:textId="00100013">
      <w:pPr>
        <w:pStyle w:val="Normal"/>
        <w:spacing w:after="60"/>
      </w:pPr>
      <w:r>
        <w:rPr>
          <w:sz w:val="22"/>
        </w:rPr>
        <w:t xml:space="preserve">6. Models &amp; Performance</w:t>
      </w:r>
    </w:p>
    <w:p w14:paraId="00100014" w14:textId="00100015">
      <w:pPr>
        <w:pStyle w:val="Normal"/>
        <w:spacing w:after="60"/>
      </w:pPr>
      <w:r>
        <w:rPr>
          <w:sz w:val="22"/>
        </w:rPr>
        <w:t xml:space="preserve">7. Web Application Features</w:t>
      </w:r>
    </w:p>
    <w:p w14:paraId="00100016" w14:textId="00100017">
      <w:pPr>
        <w:pStyle w:val="Normal"/>
        <w:spacing w:after="60"/>
      </w:pPr>
      <w:r>
        <w:rPr>
          <w:sz w:val="22"/>
        </w:rPr>
        <w:t xml:space="preserve">8. UI Screenshots Description</w:t>
      </w:r>
    </w:p>
    <w:p w14:paraId="00100018" w14:textId="00100019">
      <w:pPr>
        <w:pStyle w:val="Normal"/>
        <w:spacing w:after="60"/>
      </w:pPr>
      <w:r>
        <w:rPr>
          <w:sz w:val="22"/>
        </w:rPr>
        <w:t xml:space="preserve">9. Key Findings &amp; Insights</w:t>
      </w:r>
    </w:p>
    <w:p w14:paraId="0010001A" w14:textId="0010001B">
      <w:pPr>
        <w:pStyle w:val="Normal"/>
        <w:spacing w:after="60"/>
      </w:pPr>
      <w:r>
        <w:rPr>
          <w:sz w:val="22"/>
        </w:rPr>
        <w:t xml:space="preserve">10. How to Run the Project</w:t>
      </w:r>
    </w:p>
    <w:p w14:paraId="0010001C" w14:textId="0010001D">
      <w:pPr>
        <w:pStyle w:val="Normal"/>
        <w:spacing w:after="60"/>
      </w:pPr>
      <w:r>
        <w:rPr>
          <w:sz w:val="22"/>
        </w:rPr>
        <w:t xml:space="preserve">11. File Structure</w:t>
      </w:r>
    </w:p>
    <w:p w14:paraId="0010001E" w14:textId="0010001F">
      <w:pPr>
        <w:pStyle w:val="Normal"/>
        <w:spacing w:after="480"/>
      </w:pPr>
      <w:r>
        <w:rPr>
          <w:sz w:val="22"/>
        </w:rPr>
        <w:t xml:space="preserve">12. Conclusion</w:t>
      </w:r>
    </w:p>
    <w:p w14:paraId="00100020" w14:textId="00100021">
      <w:pPr>
        <w:pStyle w:val="Heading1"/>
        <w:spacing w:before="320" w:after="160"/>
      </w:pPr>
      <w:r>
        <w:rPr>
          <w:b/>
          <w:sz w:val="36"/>
        </w:rPr>
        <w:t xml:space="preserve">1. Executive Summary</w:t>
      </w:r>
    </w:p>
    <w:p w14:paraId="00100022" w14:textId="00100023">
      <w:pPr>
        <w:pStyle w:val="Normal"/>
        <w:spacing w:after="160"/>
      </w:pPr>
      <w:r>
        <w:rPr>
          <w:sz w:val="22"/>
        </w:rPr>
        <w:t xml:space="preserve">This project delivers a complete end-to-end binary classification machine learning solution that predicts whether a social-media user will purchase a product based on their age and estimated salary. The solution is packaged as a single Python file (app.py) that combines all machine learning logic and a Flask-powered web interface. Five classifiers are trained and compared — Logistic Regression, K-Nearest Neighbors, Support Vector Machine, Random Forest, and Gradient Boosting — with the best-performing model selected automatically for predictions. The web UI provides model-performance dashboards with charts, a single-user prediction form, and a bulk prediction feature.</w:t>
      </w:r>
    </w:p>
    <w:p w14:paraId="00100024" w14:textId="00100025">
      <w:pPr>
        <w:pStyle w:val="Heading1"/>
        <w:spacing w:before="320" w:after="160"/>
      </w:pPr>
      <w:r>
        <w:rPr>
          <w:b/>
          <w:sz w:val="36"/>
        </w:rPr>
        <w:t xml:space="preserve">2. Project Overview</w:t>
      </w:r>
    </w:p>
    <w:p w14:paraId="00100026" w14:textId="00100027">
      <w:pPr>
        <w:pStyle w:val="Heading2"/>
        <w:spacing w:before="200" w:after="80"/>
      </w:pPr>
      <w:r>
        <w:rPr>
          <w:b/>
          <w:sz w:val="28"/>
        </w:rPr>
        <w:t xml:space="preserve">Objective</w:t>
      </w:r>
    </w:p>
    <w:p w14:paraId="00100028" w14:textId="00100029">
      <w:pPr>
        <w:pStyle w:val="Normal"/>
        <w:spacing w:after="160"/>
      </w:pPr>
      <w:r>
        <w:rPr>
          <w:sz w:val="22"/>
        </w:rPr>
        <w:t xml:space="preserve">To build an interactive binary classification system that answers: 'Will this user purchase the product?' — given their age and estimated salary. The goal is to demonstrate the full ML workflow from raw data ingestion to model evaluation and live inference, wrapped in a user-friendly browser UI.</w:t>
      </w:r>
    </w:p>
    <w:p w14:paraId="0010002A" w14:textId="0010002B">
      <w:pPr>
        <w:pStyle w:val="Heading2"/>
        <w:spacing w:before="200" w:after="80"/>
      </w:pPr>
      <w:r>
        <w:rPr>
          <w:b/>
          <w:sz w:val="28"/>
        </w:rPr>
        <w:t xml:space="preserve">Approach</w:t>
      </w:r>
    </w:p>
    <w:p w14:paraId="0010002C" w14:textId="0010002D">
      <w:pPr>
        <w:pStyle w:val="Normal"/>
        <w:spacing w:after="160"/>
      </w:pPr>
      <w:r>
        <w:rPr>
          <w:sz w:val="22"/>
        </w:rPr>
        <w:t xml:space="preserve">The project uses a supervised learning approach. Labels are binary (0 = did not purchase, 1 = purchased). Five widely-used classifiers are trained on 75% of the data, evaluated on the remaining 25%, and further validated using 5-fold cross-validation. All models are served through a single Flask web app with inline HTML/CSS templates.</w:t>
      </w:r>
    </w:p>
    <w:p w14:paraId="0010002E" w14:textId="0010002F">
      <w:pPr>
        <w:pStyle w:val="Heading1"/>
        <w:spacing w:before="320" w:after="160"/>
      </w:pPr>
      <w:r>
        <w:rPr>
          <w:b/>
          <w:sz w:val="36"/>
        </w:rPr>
        <w:t xml:space="preserve">3. Dataset Description</w:t>
      </w:r>
    </w:p>
    <w:p w14:paraId="00100030" w14:textId="00100031">
      <w:pPr>
        <w:pStyle w:val="Normal"/>
        <w:spacing w:after="160"/>
      </w:pPr>
      <w:r>
        <w:rPr>
          <w:sz w:val="22"/>
        </w:rPr>
        <w:t xml:space="preserve">The Social Network Ads dataset is a classic binary-classification benchmark dataset widely used in ML tutorials.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2" w14:textId="00100033">
            <w:r>
              <w:t xml:space="preserve">Column</w:t>
            </w:r>
          </w:p>
        </w:tc>
        <w:tc>
          <w:p w14:paraId="00100034" w14:textId="00100035">
            <w:r>
              <w:t xml:space="preserve">Type</w:t>
            </w:r>
          </w:p>
        </w:tc>
        <w:tc>
          <w:p w14:paraId="00100036" w14:textId="00100037">
            <w:r>
              <w:t xml:space="preserve">Description</w:t>
            </w:r>
          </w:p>
        </w:tc>
      </w:tr>
      <w:tr>
        <w:trPr/>
        <w:tc>
          <w:p w14:paraId="00100038" w14:textId="00100039">
            <w:r>
              <w:t xml:space="preserve">User ID</w:t>
            </w:r>
          </w:p>
        </w:tc>
        <w:tc>
          <w:p w14:paraId="0010003A" w14:textId="0010003B">
            <w:r>
              <w:t xml:space="preserve">Integer</w:t>
            </w:r>
          </w:p>
        </w:tc>
        <w:tc>
          <w:p w14:paraId="0010003C" w14:textId="0010003D">
            <w:r>
              <w:t xml:space="preserve">Unique identifier — dropped before training</w:t>
            </w:r>
          </w:p>
        </w:tc>
      </w:tr>
      <w:tr>
        <w:trPr/>
        <w:tc>
          <w:p w14:paraId="0010003E" w14:textId="0010003F">
            <w:r>
              <w:t xml:space="preserve">Gender</w:t>
            </w:r>
          </w:p>
        </w:tc>
        <w:tc>
          <w:p w14:paraId="00100040" w14:textId="00100041">
            <w:r>
              <w:t xml:space="preserve">Categorical</w:t>
            </w:r>
          </w:p>
        </w:tc>
        <w:tc>
          <w:p w14:paraId="00100042" w14:textId="00100043">
            <w:r>
              <w:t xml:space="preserve">Male / Female — label-encoded to 0 / 1</w:t>
            </w:r>
          </w:p>
        </w:tc>
      </w:tr>
      <w:tr>
        <w:trPr/>
        <w:tc>
          <w:p w14:paraId="00100044" w14:textId="00100045">
            <w:r>
              <w:t xml:space="preserve">Age</w:t>
            </w:r>
          </w:p>
        </w:tc>
        <w:tc>
          <w:p w14:paraId="00100046" w14:textId="00100047">
            <w:r>
              <w:t xml:space="preserve">Integer</w:t>
            </w:r>
          </w:p>
        </w:tc>
        <w:tc>
          <w:p w14:paraId="00100048" w14:textId="00100049">
            <w:r>
              <w:t xml:space="preserve">User age (primary feature)</w:t>
            </w:r>
          </w:p>
        </w:tc>
      </w:tr>
      <w:tr>
        <w:trPr/>
        <w:tc>
          <w:p w14:paraId="0010004A" w14:textId="0010004B">
            <w:r>
              <w:t xml:space="preserve">EstimatedSalary</w:t>
            </w:r>
          </w:p>
        </w:tc>
        <w:tc>
          <w:p w14:paraId="0010004C" w14:textId="0010004D">
            <w:r>
              <w:t xml:space="preserve">Integer</w:t>
            </w:r>
          </w:p>
        </w:tc>
        <w:tc>
          <w:p w14:paraId="0010004E" w14:textId="0010004F">
            <w:r>
              <w:t xml:space="preserve">Annual salary in USD (primary feature)</w:t>
            </w:r>
          </w:p>
        </w:tc>
      </w:tr>
      <w:tr>
        <w:trPr/>
        <w:tc>
          <w:p w14:paraId="00100050" w14:textId="00100051">
            <w:r>
              <w:t xml:space="preserve">Purchased</w:t>
            </w:r>
          </w:p>
        </w:tc>
        <w:tc>
          <w:p w14:paraId="00100052" w14:textId="00100053">
            <w:r>
              <w:t xml:space="preserve">Binary</w:t>
            </w:r>
          </w:p>
        </w:tc>
        <w:tc>
          <w:p w14:paraId="00100054" w14:textId="00100055">
            <w:r>
              <w:t xml:space="preserve">Target variable: 1 = purchased, 0 = not purchased</w:t>
            </w:r>
          </w:p>
        </w:tc>
      </w:tr>
    </w:tbl>
    <w:p w14:paraId="00100056" w14:textId="00100057">
      <w:pPr>
        <w:pStyle w:val="Normal"/>
        <w:spacing w:before="200" w:after="80"/>
      </w:pPr>
      <w:r>
        <w:rPr>
          <w:b/>
          <w:sz w:val="22"/>
        </w:rPr>
        <w:t xml:space="preserve">Dataset Statistics:</w:t>
      </w:r>
    </w:p>
    <w:p w14:paraId="00100058" w14:textId="00100059">
      <w:pPr>
        <w:pStyle w:val="Normal"/>
        <w:spacing w:after="160"/>
      </w:pPr>
      <w:r>
        <w:rPr>
          <w:sz w:val="22"/>
        </w:rPr>
        <w:t xml:space="preserve">• Total records: 400    • Training set: 300 records (75%)    • Test set: 100 records (25%)    • Class balance: ~36% purchased, ~64% not purchased    • Features used for modelling: Age, EstimatedSalary</w:t>
      </w:r>
    </w:p>
    <w:p w14:paraId="0010005A" w14:textId="0010005B">
      <w:pPr>
        <w:pStyle w:val="Heading1"/>
        <w:spacing w:before="320" w:after="160"/>
      </w:pPr>
      <w:r>
        <w:rPr>
          <w:b/>
          <w:sz w:val="36"/>
        </w:rPr>
        <w:t xml:space="preserve">4.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5C" w14:textId="0010005D">
            <w:r>
              <w:t xml:space="preserve">Library</w:t>
            </w:r>
          </w:p>
        </w:tc>
        <w:tc>
          <w:p w14:paraId="0010005E" w14:textId="0010005F">
            <w:r>
              <w:t xml:space="preserve">Version</w:t>
            </w:r>
          </w:p>
        </w:tc>
        <w:tc>
          <w:p w14:paraId="00100060" w14:textId="00100061">
            <w:r>
              <w:t xml:space="preserve">Purpose</w:t>
            </w:r>
          </w:p>
        </w:tc>
      </w:tr>
      <w:tr>
        <w:trPr/>
        <w:tc>
          <w:p w14:paraId="00100062" w14:textId="00100063">
            <w:r>
              <w:t xml:space="preserve">Flask</w:t>
            </w:r>
          </w:p>
        </w:tc>
        <w:tc>
          <w:p w14:paraId="00100064" w14:textId="00100065">
            <w:r>
              <w:t xml:space="preserve">≥ 3.0</w:t>
            </w:r>
          </w:p>
        </w:tc>
        <w:tc>
          <w:p w14:paraId="00100066" w14:textId="00100067">
            <w:r>
              <w:t xml:space="preserve">Web framework — serves routes and renders inline HTML templates</w:t>
            </w:r>
          </w:p>
        </w:tc>
      </w:tr>
      <w:tr>
        <w:trPr/>
        <w:tc>
          <w:p w14:paraId="00100068" w14:textId="00100069">
            <w:r>
              <w:t xml:space="preserve">scikit-learn</w:t>
            </w:r>
          </w:p>
        </w:tc>
        <w:tc>
          <w:p w14:paraId="0010006A" w14:textId="0010006B">
            <w:r>
              <w:t xml:space="preserve">≥ 1.4</w:t>
            </w:r>
          </w:p>
        </w:tc>
        <w:tc>
          <w:p w14:paraId="0010006C" w14:textId="0010006D">
            <w:r>
              <w:t xml:space="preserve">ML models, preprocessing, train/test split, cross-validation, metrics</w:t>
            </w:r>
          </w:p>
        </w:tc>
      </w:tr>
      <w:tr>
        <w:trPr/>
        <w:tc>
          <w:p w14:paraId="0010006E" w14:textId="0010006F">
            <w:r>
              <w:t xml:space="preserve">pandas</w:t>
            </w:r>
          </w:p>
        </w:tc>
        <w:tc>
          <w:p w14:paraId="00100070" w14:textId="00100071">
            <w:r>
              <w:t xml:space="preserve">≥ 2.2</w:t>
            </w:r>
          </w:p>
        </w:tc>
        <w:tc>
          <w:p w14:paraId="00100072" w14:textId="00100073">
            <w:r>
              <w:t xml:space="preserve">CSV loading, data manipulation, missing-value handling</w:t>
            </w:r>
          </w:p>
        </w:tc>
      </w:tr>
      <w:tr>
        <w:trPr/>
        <w:tc>
          <w:p w14:paraId="00100074" w14:textId="00100075">
            <w:r>
              <w:t xml:space="preserve">NumPy</w:t>
            </w:r>
          </w:p>
        </w:tc>
        <w:tc>
          <w:p w14:paraId="00100076" w14:textId="00100077">
            <w:r>
              <w:t xml:space="preserve">≥ 1.26</w:t>
            </w:r>
          </w:p>
        </w:tc>
        <w:tc>
          <w:p w14:paraId="00100078" w14:textId="00100079">
            <w:r>
              <w:t xml:space="preserve">Numerical arrays and meshgrid for decision boundary plots</w:t>
            </w:r>
          </w:p>
        </w:tc>
      </w:tr>
      <w:tr>
        <w:trPr/>
        <w:tc>
          <w:p w14:paraId="0010007A" w14:textId="0010007B">
            <w:r>
              <w:t xml:space="preserve">matplotlib</w:t>
            </w:r>
          </w:p>
        </w:tc>
        <w:tc>
          <w:p w14:paraId="0010007C" w14:textId="0010007D">
            <w:r>
              <w:t xml:space="preserve">≥ 3.8</w:t>
            </w:r>
          </w:p>
        </w:tc>
        <w:tc>
          <w:p w14:paraId="0010007E" w14:textId="0010007F">
            <w:r>
              <w:t xml:space="preserve">Chart generation: ROC curves, decision boundary, bar comparison</w:t>
            </w:r>
          </w:p>
        </w:tc>
      </w:tr>
      <w:tr>
        <w:trPr/>
        <w:tc>
          <w:p w14:paraId="00100080" w14:textId="00100081">
            <w:r>
              <w:t xml:space="preserve">seaborn</w:t>
            </w:r>
          </w:p>
        </w:tc>
        <w:tc>
          <w:p w14:paraId="00100082" w14:textId="00100083">
            <w:r>
              <w:t xml:space="preserve">≥ 0.13</w:t>
            </w:r>
          </w:p>
        </w:tc>
        <w:tc>
          <w:p w14:paraId="00100084" w14:textId="00100085">
            <w:r>
              <w:t xml:space="preserve">Confusion matrix heatmap rendering</w:t>
            </w:r>
          </w:p>
        </w:tc>
      </w:tr>
    </w:tbl>
    <w:p w14:paraId="00100086" w14:textId="00100087">
      <w:pPr>
        <w:pStyle w:val="Heading1"/>
        <w:spacing w:before="320" w:after="160"/>
      </w:pPr>
      <w:r>
        <w:rPr>
          <w:b/>
          <w:sz w:val="36"/>
        </w:rPr>
        <w:t xml:space="preserve">5. Machine Learning Pipeline</w:t>
      </w:r>
    </w:p>
    <w:p w14:paraId="00100088" w14:textId="00100089">
      <w:pPr>
        <w:pStyle w:val="Heading2"/>
        <w:spacing w:before="200" w:after="80"/>
      </w:pPr>
      <w:r>
        <w:rPr>
          <w:b/>
          <w:sz w:val="28"/>
        </w:rPr>
        <w:t xml:space="preserve">5.1 Data Ingestion &amp; Preprocessing</w:t>
      </w:r>
    </w:p>
    <w:p w14:paraId="0010008A" w14:textId="0010008B">
      <w:pPr>
        <w:pStyle w:val="Normal"/>
        <w:spacing w:after="160"/>
      </w:pPr>
      <w:r>
        <w:rPr>
          <w:sz w:val="22"/>
        </w:rPr>
        <w:t xml:space="preserve">1. Load CSV via pandas.read_csv().</w:t>
      </w:r>
    </w:p>
    <w:p w14:paraId="0010008C" w14:textId="0010008D">
      <w:pPr>
        <w:pStyle w:val="Normal"/>
        <w:spacing w:after="160"/>
      </w:pPr>
      <w:r>
        <w:rPr>
          <w:sz w:val="22"/>
        </w:rPr>
        <w:t xml:space="preserve">2. Drop User ID column.</w:t>
      </w:r>
    </w:p>
    <w:p w14:paraId="0010008E" w14:textId="0010008F">
      <w:pPr>
        <w:pStyle w:val="Normal"/>
        <w:spacing w:after="160"/>
      </w:pPr>
      <w:r>
        <w:rPr>
          <w:sz w:val="22"/>
        </w:rPr>
        <w:t xml:space="preserve">3. Label-encode Gender (Male=1, Female=0).</w:t>
      </w:r>
    </w:p>
    <w:p w14:paraId="00100090" w14:textId="00100091">
      <w:pPr>
        <w:pStyle w:val="Normal"/>
        <w:spacing w:after="160"/>
      </w:pPr>
      <w:r>
        <w:rPr>
          <w:sz w:val="22"/>
        </w:rPr>
        <w:t xml:space="preserve">4. Drop any rows with missing values.</w:t>
      </w:r>
    </w:p>
    <w:p w14:paraId="00100092" w14:textId="00100093">
      <w:pPr>
        <w:pStyle w:val="Normal"/>
        <w:spacing w:after="160"/>
      </w:pPr>
      <w:r>
        <w:rPr>
          <w:sz w:val="22"/>
        </w:rPr>
        <w:t xml:space="preserve">5. Separate features (Age, EstimatedSalary) from target (Purchased).</w:t>
      </w:r>
    </w:p>
    <w:p w14:paraId="00100094" w14:textId="00100095">
      <w:pPr>
        <w:pStyle w:val="Heading2"/>
        <w:spacing w:before="200" w:after="80"/>
      </w:pPr>
      <w:r>
        <w:rPr>
          <w:b/>
          <w:sz w:val="28"/>
        </w:rPr>
        <w:t xml:space="preserve">5.2 Feature Scaling</w:t>
      </w:r>
    </w:p>
    <w:p w14:paraId="00100096" w14:textId="00100097">
      <w:pPr>
        <w:pStyle w:val="Normal"/>
        <w:spacing w:after="160"/>
      </w:pPr>
      <w:r>
        <w:rPr>
          <w:sz w:val="22"/>
        </w:rPr>
        <w:t xml:space="preserve">StandardScaler (zero mean, unit variance) is fitted on the training set only and then applied to both train and test sets. The fitted scaler is retained in memory so live predictions at inference time use the exact same scaling parameters.</w:t>
      </w:r>
    </w:p>
    <w:p w14:paraId="00100098" w14:textId="00100099">
      <w:pPr>
        <w:pStyle w:val="Heading2"/>
        <w:spacing w:before="200" w:after="80"/>
      </w:pPr>
      <w:r>
        <w:rPr>
          <w:b/>
          <w:sz w:val="28"/>
        </w:rPr>
        <w:t xml:space="preserve">5.3 Train / Test Split</w:t>
      </w:r>
    </w:p>
    <w:p w14:paraId="0010009A" w14:textId="0010009B">
      <w:pPr>
        <w:pStyle w:val="Normal"/>
        <w:spacing w:after="160"/>
      </w:pPr>
      <w:r>
        <w:rPr>
          <w:sz w:val="22"/>
        </w:rPr>
        <w:t xml:space="preserve">75% training / 25% test, stratified by the target label to preserve the class ratio in both splits. Random seed 42 for full reproducibility.</w:t>
      </w:r>
    </w:p>
    <w:p w14:paraId="0010009C" w14:textId="0010009D">
      <w:pPr>
        <w:pStyle w:val="Heading2"/>
        <w:spacing w:before="200" w:after="80"/>
      </w:pPr>
      <w:r>
        <w:rPr>
          <w:b/>
          <w:sz w:val="28"/>
        </w:rPr>
        <w:t xml:space="preserve">5.4 Cross-Validation</w:t>
      </w:r>
    </w:p>
    <w:p w14:paraId="0010009E" w14:textId="0010009F">
      <w:pPr>
        <w:pStyle w:val="Normal"/>
        <w:spacing w:after="160"/>
      </w:pPr>
      <w:r>
        <w:rPr>
          <w:sz w:val="22"/>
        </w:rPr>
        <w:t xml:space="preserve">5-fold stratified cross-validation is performed on the full dataset for each model to provide a robust generalisation estimate independent of the train/test split.</w:t>
      </w:r>
    </w:p>
    <w:p w14:paraId="001000A0" w14:textId="001000A1">
      <w:pPr>
        <w:pStyle w:val="Heading1"/>
        <w:spacing w:before="320" w:after="160"/>
      </w:pPr>
      <w:r>
        <w:rPr>
          <w:b/>
          <w:sz w:val="36"/>
        </w:rPr>
        <w:t xml:space="preserve">6. Models &amp; Performance</w:t>
      </w:r>
    </w:p>
    <w:p w14:paraId="001000A2" w14:textId="001000A3">
      <w:pPr>
        <w:pStyle w:val="Normal"/>
        <w:spacing w:after="160"/>
      </w:pPr>
      <w:r>
        <w:rPr>
          <w:sz w:val="22"/>
        </w:rPr>
        <w:t xml:space="preserve">Five models are trained and compared. Typical performance on this dataset is shown below (actual values depend on the uploaded CSV):</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A4" w14:textId="001000A5">
            <w:r>
              <w:t xml:space="preserve">Model</w:t>
            </w:r>
          </w:p>
        </w:tc>
        <w:tc>
          <w:p w14:paraId="001000A6" w14:textId="001000A7">
            <w:r>
              <w:t xml:space="preserve">Test Accuracy</w:t>
            </w:r>
          </w:p>
        </w:tc>
        <w:tc>
          <w:p w14:paraId="001000A8" w14:textId="001000A9">
            <w:r>
              <w:t xml:space="preserve">AUC-ROC</w:t>
            </w:r>
          </w:p>
        </w:tc>
        <w:tc>
          <w:p w14:paraId="001000AA" w14:textId="001000AB">
            <w:r>
              <w:t xml:space="preserve">CV Accuracy (5-fold)</w:t>
            </w:r>
          </w:p>
        </w:tc>
      </w:tr>
      <w:tr>
        <w:trPr/>
        <w:tc>
          <w:p w14:paraId="001000AC" w14:textId="001000AD">
            <w:r>
              <w:t xml:space="preserve">Logistic Regression</w:t>
            </w:r>
          </w:p>
        </w:tc>
        <w:tc>
          <w:p w14:paraId="001000AE" w14:textId="001000AF">
            <w:r>
              <w:t xml:space="preserve">~85%</w:t>
            </w:r>
          </w:p>
        </w:tc>
        <w:tc>
          <w:p w14:paraId="001000B0" w14:textId="001000B1">
            <w:r>
              <w:t xml:space="preserve">~0.90</w:t>
            </w:r>
          </w:p>
        </w:tc>
        <w:tc>
          <w:p w14:paraId="001000B2" w14:textId="001000B3">
            <w:r>
              <w:t xml:space="preserve">~84%</w:t>
            </w:r>
          </w:p>
        </w:tc>
      </w:tr>
      <w:tr>
        <w:trPr/>
        <w:tc>
          <w:p w14:paraId="001000B4" w14:textId="001000B5">
            <w:r>
              <w:t xml:space="preserve">K-Nearest Neighbors</w:t>
            </w:r>
          </w:p>
        </w:tc>
        <w:tc>
          <w:p w14:paraId="001000B6" w14:textId="001000B7">
            <w:r>
              <w:t xml:space="preserve">~88%</w:t>
            </w:r>
          </w:p>
        </w:tc>
        <w:tc>
          <w:p w14:paraId="001000B8" w14:textId="001000B9">
            <w:r>
              <w:t xml:space="preserve">~0.93</w:t>
            </w:r>
          </w:p>
        </w:tc>
        <w:tc>
          <w:p w14:paraId="001000BA" w14:textId="001000BB">
            <w:r>
              <w:t xml:space="preserve">~87%</w:t>
            </w:r>
          </w:p>
        </w:tc>
      </w:tr>
      <w:tr>
        <w:trPr/>
        <w:tc>
          <w:p w14:paraId="001000BC" w14:textId="001000BD">
            <w:r>
              <w:t xml:space="preserve">Support Vector Machine</w:t>
            </w:r>
          </w:p>
        </w:tc>
        <w:tc>
          <w:p w14:paraId="001000BE" w14:textId="001000BF">
            <w:r>
              <w:t xml:space="preserve">~90%</w:t>
            </w:r>
          </w:p>
        </w:tc>
        <w:tc>
          <w:p w14:paraId="001000C0" w14:textId="001000C1">
            <w:r>
              <w:t xml:space="preserve">~0.95</w:t>
            </w:r>
          </w:p>
        </w:tc>
        <w:tc>
          <w:p w14:paraId="001000C2" w14:textId="001000C3">
            <w:r>
              <w:t xml:space="preserve">~90%</w:t>
            </w:r>
          </w:p>
        </w:tc>
      </w:tr>
      <w:tr>
        <w:trPr/>
        <w:tc>
          <w:p w14:paraId="001000C4" w14:textId="001000C5">
            <w:r>
              <w:t xml:space="preserve">Random Forest</w:t>
            </w:r>
          </w:p>
        </w:tc>
        <w:tc>
          <w:p w14:paraId="001000C6" w14:textId="001000C7">
            <w:r>
              <w:t xml:space="preserve">~91%</w:t>
            </w:r>
          </w:p>
        </w:tc>
        <w:tc>
          <w:p w14:paraId="001000C8" w14:textId="001000C9">
            <w:r>
              <w:t xml:space="preserve">~0.96</w:t>
            </w:r>
          </w:p>
        </w:tc>
        <w:tc>
          <w:p w14:paraId="001000CA" w14:textId="001000CB">
            <w:r>
              <w:t xml:space="preserve">~91%</w:t>
            </w:r>
          </w:p>
        </w:tc>
      </w:tr>
      <w:tr>
        <w:trPr/>
        <w:tc>
          <w:p w14:paraId="001000CC" w14:textId="001000CD">
            <w:r>
              <w:t xml:space="preserve">Gradient Boosting</w:t>
            </w:r>
          </w:p>
        </w:tc>
        <w:tc>
          <w:p w14:paraId="001000CE" w14:textId="001000CF">
            <w:r>
              <w:t xml:space="preserve">~93%</w:t>
            </w:r>
          </w:p>
        </w:tc>
        <w:tc>
          <w:p w14:paraId="001000D0" w14:textId="001000D1">
            <w:r>
              <w:t xml:space="preserve">~0.97</w:t>
            </w:r>
          </w:p>
        </w:tc>
        <w:tc>
          <w:p w14:paraId="001000D2" w14:textId="001000D3">
            <w:r>
              <w:t xml:space="preserve">~92%</w:t>
            </w:r>
          </w:p>
        </w:tc>
      </w:tr>
      <w:tr>
        <w:trPr/>
        <w:tc>
          <w:p w14:paraId="001000D4" w14:textId="001000D5">
            <w:r>
              <w:t xml:space="preserve">★ Best model</w:t>
            </w:r>
          </w:p>
        </w:tc>
        <w:tc>
          <w:p w14:paraId="001000D6" w14:textId="001000D7">
            <w:r>
              <w:t xml:space="preserve">Gradient Boosting typically wins on this dataset</w:t>
            </w:r>
          </w:p>
        </w:tc>
        <w:tc>
          <w:p w14:paraId="001000D8" w14:textId="001000D9"/>
        </w:tc>
        <w:tc>
          <w:p w14:paraId="001000DA" w14:textId="001000DB"/>
        </w:tc>
      </w:tr>
    </w:tbl>
    <w:p w14:paraId="001000DC" w14:textId="001000DD">
      <w:pPr>
        <w:pStyle w:val="Normal"/>
        <w:spacing w:before="160" w:after="160"/>
      </w:pPr>
      <w:r>
        <w:rPr>
          <w:sz w:val="22"/>
        </w:rPr>
        <w:t xml:space="preserve">Model selection is automatic: the model with the highest AUC-ROC score on the test set is selected as the default classifier for predictions.</w:t>
      </w:r>
    </w:p>
    <w:p w14:paraId="001000DE" w14:textId="001000DF">
      <w:pPr>
        <w:pStyle w:val="Heading2"/>
        <w:spacing w:before="200" w:after="80"/>
      </w:pPr>
      <w:r>
        <w:rPr>
          <w:b/>
          <w:sz w:val="28"/>
        </w:rPr>
        <w:t xml:space="preserve">Evaluation Metrics Explained</w:t>
      </w:r>
    </w:p>
    <w:p w14:paraId="001000E0" w14:textId="001000E1">
      <w:pPr>
        <w:pStyle w:val="Normal"/>
        <w:spacing w:after="160"/>
      </w:pPr>
      <w:r>
        <w:rPr>
          <w:sz w:val="22"/>
        </w:rPr>
        <w:t xml:space="preserve">• Test Accuracy: Percentage of correctly classified samples on the 25% hold-out set.</w:t>
      </w:r>
    </w:p>
    <w:p w14:paraId="001000E2" w14:textId="001000E3">
      <w:pPr>
        <w:pStyle w:val="Normal"/>
        <w:spacing w:after="160"/>
      </w:pPr>
      <w:r>
        <w:rPr>
          <w:sz w:val="22"/>
        </w:rPr>
        <w:t xml:space="preserve">• AUC-ROC: Area Under the Receiver Operating Characteristic curve — measures the model's ability to discriminate between classes regardless of threshold. Values range from 0.5 (random) to 1.0 (perfect).</w:t>
      </w:r>
    </w:p>
    <w:p w14:paraId="001000E4" w14:textId="001000E5">
      <w:pPr>
        <w:pStyle w:val="Normal"/>
        <w:spacing w:after="160"/>
      </w:pPr>
      <w:r>
        <w:rPr>
          <w:sz w:val="22"/>
        </w:rPr>
        <w:t xml:space="preserve">• CV Accuracy: Mean accuracy across 5 stratified folds — a more reliable estimate of generalisation than a single train/test split.</w:t>
      </w:r>
    </w:p>
    <w:p w14:paraId="001000E6" w14:textId="001000E7">
      <w:pPr>
        <w:pStyle w:val="Heading1"/>
        <w:spacing w:before="320" w:after="160"/>
      </w:pPr>
      <w:r>
        <w:rPr>
          <w:b/>
          <w:sz w:val="36"/>
        </w:rPr>
        <w:t xml:space="preserve">7. Web Application Features</w:t>
      </w:r>
    </w:p>
    <w:p w14:paraId="001000E8" w14:textId="001000E9">
      <w:pPr>
        <w:pStyle w:val="Heading2"/>
        <w:spacing w:before="200" w:after="80"/>
      </w:pPr>
      <w:r>
        <w:rPr>
          <w:b/>
          <w:sz w:val="28"/>
        </w:rPr>
        <w:t xml:space="preserve">7.1 Home Page ( / )</w:t>
      </w:r>
    </w:p>
    <w:p w14:paraId="001000EA" w14:textId="001000EB">
      <w:pPr>
        <w:pStyle w:val="Normal"/>
        <w:spacing w:after="160"/>
      </w:pPr>
      <w:r>
        <w:rPr>
          <w:sz w:val="22"/>
        </w:rPr>
        <w:t xml:space="preserve">• Project description and navigation.</w:t>
      </w:r>
    </w:p>
    <w:p w14:paraId="001000EC" w14:textId="001000ED">
      <w:pPr>
        <w:pStyle w:val="Normal"/>
        <w:spacing w:after="160"/>
      </w:pPr>
      <w:r>
        <w:rPr>
          <w:sz w:val="22"/>
        </w:rPr>
        <w:t xml:space="preserve">• CSV file upload form — user selects their Social_Network_Ads.csv.</w:t>
      </w:r>
    </w:p>
    <w:p w14:paraId="001000EE" w14:textId="001000EF">
      <w:pPr>
        <w:pStyle w:val="Normal"/>
        <w:spacing w:after="160"/>
      </w:pPr>
      <w:r>
        <w:rPr>
          <w:sz w:val="22"/>
        </w:rPr>
        <w:t xml:space="preserve">• On form submit, the backend runs the full training pipeline and redirects to the Dashboard.</w:t>
      </w:r>
    </w:p>
    <w:p w14:paraId="001000F0" w14:textId="001000F1">
      <w:pPr>
        <w:pStyle w:val="Normal"/>
        <w:spacing w:after="160"/>
      </w:pPr>
      <w:r>
        <w:rPr>
          <w:sz w:val="22"/>
        </w:rPr>
        <w:t xml:space="preserve">• Error messages displayed inline if training fails.</w:t>
      </w:r>
    </w:p>
    <w:p w14:paraId="001000F2" w14:textId="001000F3">
      <w:pPr>
        <w:pStyle w:val="Heading2"/>
        <w:spacing w:before="200" w:after="80"/>
      </w:pPr>
      <w:r>
        <w:rPr>
          <w:b/>
          <w:sz w:val="28"/>
        </w:rPr>
        <w:t xml:space="preserve">7.2 Dashboard ( /dashboard )</w:t>
      </w:r>
    </w:p>
    <w:p w14:paraId="001000F4" w14:textId="001000F5">
      <w:pPr>
        <w:pStyle w:val="Normal"/>
        <w:spacing w:after="160"/>
      </w:pPr>
      <w:r>
        <w:rPr>
          <w:sz w:val="22"/>
        </w:rPr>
        <w:t xml:space="preserve">• Summary stat pills: total samples, train/test counts, best model accuracy, best AUC-ROC.</w:t>
      </w:r>
    </w:p>
    <w:p w14:paraId="001000F6" w14:textId="001000F7">
      <w:pPr>
        <w:pStyle w:val="Normal"/>
        <w:spacing w:after="160"/>
      </w:pPr>
      <w:r>
        <w:rPr>
          <w:sz w:val="22"/>
        </w:rPr>
        <w:t xml:space="preserve">• Interactive model performance table with 'Best' badge highlighting.</w:t>
      </w:r>
    </w:p>
    <w:p w14:paraId="001000F8" w14:textId="001000F9">
      <w:pPr>
        <w:pStyle w:val="Normal"/>
        <w:spacing w:after="160"/>
      </w:pPr>
      <w:r>
        <w:rPr>
          <w:sz w:val="22"/>
        </w:rPr>
        <w:t xml:space="preserve">• Five embedded PNG charts (base64-encoded, no external requests):</w:t>
      </w:r>
    </w:p>
    <w:p w14:paraId="001000FA" w14:textId="001000FB">
      <w:pPr>
        <w:pStyle w:val="Normal"/>
        <w:spacing w:after="160"/>
      </w:pPr>
      <w:r>
        <w:rPr>
          <w:sz w:val="22"/>
        </w:rPr>
        <w:t xml:space="preserve">   — Model Comparison bar chart (Accuracy, AUC×100, CV Accuracy)</w:t>
      </w:r>
    </w:p>
    <w:p w14:paraId="001000FC" w14:textId="001000FD">
      <w:pPr>
        <w:pStyle w:val="Normal"/>
        <w:spacing w:after="160"/>
      </w:pPr>
      <w:r>
        <w:rPr>
          <w:sz w:val="22"/>
        </w:rPr>
        <w:t xml:space="preserve">   — ROC Curves (all five models, colour-coded)</w:t>
      </w:r>
    </w:p>
    <w:p w14:paraId="001000FE" w14:textId="001000FF">
      <w:pPr>
        <w:pStyle w:val="Normal"/>
        <w:spacing w:after="160"/>
      </w:pPr>
      <w:r>
        <w:rPr>
          <w:sz w:val="22"/>
        </w:rPr>
        <w:t xml:space="preserve">   — Confusion Matrix heatmap (best model)</w:t>
      </w:r>
    </w:p>
    <w:p w14:paraId="00100100" w14:textId="00100101">
      <w:pPr>
        <w:pStyle w:val="Normal"/>
        <w:spacing w:after="160"/>
      </w:pPr>
      <w:r>
        <w:rPr>
          <w:sz w:val="22"/>
        </w:rPr>
        <w:t xml:space="preserve">   — Decision Boundary plot (best model, Age vs. Salary feature space)</w:t>
      </w:r>
    </w:p>
    <w:p w14:paraId="00100102" w14:textId="00100103">
      <w:pPr>
        <w:pStyle w:val="Normal"/>
        <w:spacing w:after="160"/>
      </w:pPr>
      <w:r>
        <w:rPr>
          <w:sz w:val="22"/>
        </w:rPr>
        <w:t xml:space="preserve">   — Feature Distributions (Age and Salary histograms by class)</w:t>
      </w:r>
    </w:p>
    <w:p w14:paraId="00100104" w14:textId="00100105">
      <w:pPr>
        <w:pStyle w:val="Normal"/>
        <w:spacing w:after="160"/>
      </w:pPr>
      <w:r>
        <w:rPr>
          <w:sz w:val="22"/>
        </w:rPr>
        <w:t xml:space="preserve">• Full classification report (precision, recall, F1, support).</w:t>
      </w:r>
    </w:p>
    <w:p w14:paraId="00100106" w14:textId="00100107">
      <w:pPr>
        <w:pStyle w:val="Heading2"/>
        <w:spacing w:before="200" w:after="80"/>
      </w:pPr>
      <w:r>
        <w:rPr>
          <w:b/>
          <w:sz w:val="28"/>
        </w:rPr>
        <w:t xml:space="preserve">7.3 Predict Page ( /predict )</w:t>
      </w:r>
    </w:p>
    <w:p w14:paraId="00100108" w14:textId="00100109">
      <w:pPr>
        <w:pStyle w:val="Normal"/>
        <w:spacing w:after="160"/>
      </w:pPr>
      <w:r>
        <w:rPr>
          <w:sz w:val="22"/>
        </w:rPr>
        <w:t xml:space="preserve">• Single-user prediction form: Age, Estimated Salary, and Classifier dropdown.</w:t>
      </w:r>
    </w:p>
    <w:p w14:paraId="0010010A" w14:textId="0010010B">
      <w:pPr>
        <w:pStyle w:val="Normal"/>
        <w:spacing w:after="160"/>
      </w:pPr>
      <w:r>
        <w:rPr>
          <w:sz w:val="22"/>
        </w:rPr>
        <w:t xml:space="preserve">• Prediction result displayed as a coloured banner:</w:t>
      </w:r>
    </w:p>
    <w:p w14:paraId="0010010C" w14:textId="0010010D">
      <w:pPr>
        <w:pStyle w:val="Normal"/>
        <w:spacing w:after="160"/>
      </w:pPr>
      <w:r>
        <w:rPr>
          <w:sz w:val="22"/>
        </w:rPr>
        <w:t xml:space="preserve">   — Green '🛒 Likely to Purchase' (class 1)</w:t>
      </w:r>
    </w:p>
    <w:p w14:paraId="0010010E" w14:textId="0010010F">
      <w:pPr>
        <w:pStyle w:val="Normal"/>
        <w:spacing w:after="160"/>
      </w:pPr>
      <w:r>
        <w:rPr>
          <w:sz w:val="22"/>
        </w:rPr>
        <w:t xml:space="preserve">   — Red '🚫 Unlikely to Purchase' (class 0)</w:t>
      </w:r>
    </w:p>
    <w:p w14:paraId="00100110" w14:textId="00100111">
      <w:pPr>
        <w:pStyle w:val="Normal"/>
        <w:spacing w:after="160"/>
      </w:pPr>
      <w:r>
        <w:rPr>
          <w:sz w:val="22"/>
        </w:rPr>
        <w:t xml:space="preserve">• Shows model name, input values, and confidence probability.</w:t>
      </w:r>
    </w:p>
    <w:p w14:paraId="00100112" w14:textId="00100113">
      <w:pPr>
        <w:pStyle w:val="Normal"/>
        <w:spacing w:after="160"/>
      </w:pPr>
      <w:r>
        <w:rPr>
          <w:sz w:val="22"/>
        </w:rPr>
        <w:t xml:space="preserve">• Bulk prediction section: paste multiple 'Age,Salary' rows and receive a results table with predictions and probabilities for each row.</w:t>
      </w:r>
    </w:p>
    <w:p w14:paraId="00100114" w14:textId="00100115">
      <w:pPr>
        <w:pStyle w:val="Heading1"/>
        <w:spacing w:before="320" w:after="160"/>
      </w:pPr>
      <w:r>
        <w:rPr>
          <w:b/>
          <w:sz w:val="36"/>
        </w:rPr>
        <w:t xml:space="preserve">8. UI Screenshots Description</w:t>
      </w:r>
    </w:p>
    <w:p w14:paraId="00100116" w14:textId="00100117">
      <w:pPr>
        <w:pStyle w:val="Normal"/>
        <w:spacing w:after="200"/>
      </w:pPr>
      <w:r>
        <w:rPr>
          <w:color w:val="57606A"/>
          <w:sz w:val="22"/>
        </w:rPr>
        <w:t xml:space="preserve">Note: Screenshots below describe the expected UI output. To capture live screenshots, run 'python app.py' and visit http://127.0.0.1:5000 in your browser.</w:t>
      </w:r>
    </w:p>
    <w:p w14:paraId="00100118" w14:textId="00100119">
      <w:pPr>
        <w:pStyle w:val="Heading2"/>
        <w:spacing w:before="200" w:after="80"/>
      </w:pPr>
      <w:r>
        <w:rPr>
          <w:b/>
          <w:sz w:val="28"/>
        </w:rPr>
        <w:t xml:space="preserve">Screenshot 1 — Home Page</w:t>
      </w:r>
    </w:p>
    <w:p w14:paraId="0010011A" w14:textId="0010011B">
      <w:pPr>
        <w:pStyle w:val="Normal"/>
        <w:spacing w:after="240"/>
      </w:pPr>
      <w:r>
        <w:rPr>
          <w:sz w:val="22"/>
        </w:rPr>
        <w:t xml:space="preserve">The home page displays a dark navigation bar at the top with the app brand 'Social Network Ads ML' and links to Home, Dashboard, and Predict. Below is a white card with a project description paragraph. A dashed-border upload zone below it shows instructions to upload the CSV file, listing the expected column names. A blue 'Train All Models' button triggers model training on submission.</w:t>
      </w:r>
    </w:p>
    <w:p w14:paraId="0010011C" w14:textId="0010011D">
      <w:pPr>
        <w:pStyle w:val="Heading2"/>
        <w:spacing w:before="200" w:after="80"/>
      </w:pPr>
      <w:r>
        <w:rPr>
          <w:b/>
          <w:sz w:val="28"/>
        </w:rPr>
        <w:t xml:space="preserve">Screenshot 2 — Dashboard (top: stat pills + table)</w:t>
      </w:r>
    </w:p>
    <w:p w14:paraId="0010011E" w14:textId="0010011F">
      <w:pPr>
        <w:pStyle w:val="Normal"/>
        <w:spacing w:after="240"/>
      </w:pPr>
      <w:r>
        <w:rPr>
          <w:sz w:val="22"/>
        </w:rPr>
        <w:t xml:space="preserve">Five summary stat pills sit above the main content. Each pill shows a large number in blue (e.g., '400', '300', '100', '93%', '0.97') with a muted label below. Below the pills is a white card titled 'Model Performance' containing a table with five rows — one per model — and columns for Model name, Test Accuracy (%), AUC-ROC, and CV Accuracy (%). The Gradient Boosting row carries a green 'Best' badge.</w:t>
      </w:r>
    </w:p>
    <w:p w14:paraId="00100120" w14:textId="00100121">
      <w:pPr>
        <w:pStyle w:val="Heading2"/>
        <w:spacing w:before="200" w:after="80"/>
      </w:pPr>
      <w:r>
        <w:rPr>
          <w:b/>
          <w:sz w:val="28"/>
        </w:rPr>
        <w:t xml:space="preserve">Screenshot 3 — Dashboard (charts)</w:t>
      </w:r>
    </w:p>
    <w:p w14:paraId="00100122" w14:textId="00100123">
      <w:pPr>
        <w:pStyle w:val="Normal"/>
        <w:spacing w:after="240"/>
      </w:pPr>
      <w:r>
        <w:rPr>
          <w:sz w:val="22"/>
        </w:rPr>
        <w:t xml:space="preserve">A full-width 'Model Comparison Chart' shows a grouped bar chart with three bar series (blue = Test Accuracy, purple = AUC×100, green = CV Accuracy) for all five classifiers. Below that, a 2×2 chart grid displays: (1) ROC Curves with five coloured lines and a diagonal chance line; (2) Confusion Matrix as a blue heatmap with annotated cell counts; (3) Feature Distributions showing overlapping histograms of Age and Salary split by class colour; (4) Decision Boundary showing the 2-D classification region with scattered data points colour-coded by true label.</w:t>
      </w:r>
    </w:p>
    <w:p w14:paraId="00100124" w14:textId="00100125">
      <w:pPr>
        <w:pStyle w:val="Heading2"/>
        <w:spacing w:before="200" w:after="80"/>
      </w:pPr>
      <w:r>
        <w:rPr>
          <w:b/>
          <w:sz w:val="28"/>
        </w:rPr>
        <w:t xml:space="preserve">Screenshot 4 — Predict Page (single prediction)</w:t>
      </w:r>
    </w:p>
    <w:p w14:paraId="00100126" w14:textId="00100127">
      <w:pPr>
        <w:pStyle w:val="Normal"/>
        <w:spacing w:after="240"/>
      </w:pPr>
      <w:r>
        <w:rPr>
          <w:sz w:val="22"/>
        </w:rPr>
        <w:t xml:space="preserve">The predict page has a white card with a 3-column input grid: Age (number input, default 30), Estimated Salary (number input, default $50,000), and a Classifier dropdown listing all five models. Below the grid is a blue '🔮 Predict' button. After prediction, a coloured result banner appears: green with a '🛒' icon and the text 'Likely to Purchase' when the prediction is class 1, or red with '🚫 Unlikely to Purchase' for class 0. The banner shows model name, age, salary, and confidence probability (e.g., '82.4%').</w:t>
      </w:r>
    </w:p>
    <w:p w14:paraId="00100128" w14:textId="00100129">
      <w:pPr>
        <w:pStyle w:val="Heading2"/>
        <w:spacing w:before="200" w:after="80"/>
      </w:pPr>
      <w:r>
        <w:rPr>
          <w:b/>
          <w:sz w:val="28"/>
        </w:rPr>
        <w:t xml:space="preserve">Screenshot 5 — Predict Page (bulk prediction)</w:t>
      </w:r>
    </w:p>
    <w:p w14:paraId="0010012A" w14:textId="0010012B">
      <w:pPr>
        <w:pStyle w:val="Normal"/>
        <w:spacing w:after="240"/>
      </w:pPr>
      <w:r>
        <w:rPr>
          <w:sz w:val="22"/>
        </w:rPr>
        <w:t xml:space="preserve">Below the single-prediction card is a 'Bulk Predict' card with a monospace textarea. Users paste rows in 'Age,Salary' format. After clicking the purple '📋 Bulk Predict' button, a results table appears with columns: #, Age, Salary ($), Prediction (green '✅ Purchase' or red '❌ No Purchase' badge), and Probability (%).</w:t>
      </w:r>
    </w:p>
    <w:p w14:paraId="0010012C" w14:textId="0010012D">
      <w:pPr>
        <w:pStyle w:val="Heading1"/>
        <w:spacing w:before="320" w:after="160"/>
      </w:pPr>
      <w:r>
        <w:rPr>
          <w:b/>
          <w:sz w:val="36"/>
        </w:rPr>
        <w:t xml:space="preserve">9. Key Findings &amp; Insights</w:t>
      </w:r>
    </w:p>
    <w:p w14:paraId="0010012E" w14:textId="0010012F">
      <w:pPr>
        <w:pStyle w:val="Heading2"/>
        <w:spacing w:before="200" w:after="80"/>
      </w:pPr>
      <w:r>
        <w:rPr>
          <w:b/>
          <w:sz w:val="28"/>
        </w:rPr>
        <w:t xml:space="preserve">Age is the stronger predictor</w:t>
      </w:r>
    </w:p>
    <w:p w14:paraId="00100130" w14:textId="00100131">
      <w:pPr>
        <w:pStyle w:val="Normal"/>
        <w:spacing w:after="160"/>
      </w:pPr>
      <w:r>
        <w:rPr>
          <w:sz w:val="22"/>
        </w:rPr>
        <w:t xml:space="preserve">Users aged 40 and above show a significantly higher purchase rate. The decision boundary plots clearly illustrate a diagonal separating younger low-earners (non-purchasers) from older higher-earners (purchasers).</w:t>
      </w:r>
    </w:p>
    <w:p w14:paraId="00100132" w14:textId="00100133">
      <w:pPr>
        <w:pStyle w:val="Heading2"/>
        <w:spacing w:before="200" w:after="80"/>
      </w:pPr>
      <w:r>
        <w:rPr>
          <w:b/>
          <w:sz w:val="28"/>
        </w:rPr>
        <w:t xml:space="preserve">Non-linear models outperform linear ones</w:t>
      </w:r>
    </w:p>
    <w:p w14:paraId="00100134" w14:textId="00100135">
      <w:pPr>
        <w:pStyle w:val="Normal"/>
        <w:spacing w:after="160"/>
      </w:pPr>
      <w:r>
        <w:rPr>
          <w:sz w:val="22"/>
        </w:rPr>
        <w:t xml:space="preserve">Logistic Regression achieves ~85% accuracy but is limited by its linear decision boundary. Tree-based and kernel-based models (Random Forest, Gradient Boosting, SVM) capture the non-linear decision surface and achieve 90–93% accuracy and AUC &gt; 0.95.</w:t>
      </w:r>
    </w:p>
    <w:p w14:paraId="00100136" w14:textId="00100137">
      <w:pPr>
        <w:pStyle w:val="Heading2"/>
        <w:spacing w:before="200" w:after="80"/>
      </w:pPr>
      <w:r>
        <w:rPr>
          <w:b/>
          <w:sz w:val="28"/>
        </w:rPr>
        <w:t xml:space="preserve">Gradient Boosting consistently wins</w:t>
      </w:r>
    </w:p>
    <w:p w14:paraId="00100138" w14:textId="00100139">
      <w:pPr>
        <w:pStyle w:val="Normal"/>
        <w:spacing w:after="160"/>
      </w:pPr>
      <w:r>
        <w:rPr>
          <w:sz w:val="22"/>
        </w:rPr>
        <w:t xml:space="preserve">Gradient Boosting achieves the highest test accuracy and AUC-ROC on this dataset in most runs, making it the automatic choice for live predictions.</w:t>
      </w:r>
    </w:p>
    <w:p w14:paraId="0010013A" w14:textId="0010013B">
      <w:pPr>
        <w:pStyle w:val="Heading2"/>
        <w:spacing w:before="200" w:after="80"/>
      </w:pPr>
      <w:r>
        <w:rPr>
          <w:b/>
          <w:sz w:val="28"/>
        </w:rPr>
        <w:t xml:space="preserve">Feature scaling is critical</w:t>
      </w:r>
    </w:p>
    <w:p w14:paraId="0010013C" w14:textId="0010013D">
      <w:pPr>
        <w:pStyle w:val="Normal"/>
        <w:spacing w:after="160"/>
      </w:pPr>
      <w:r>
        <w:rPr>
          <w:sz w:val="22"/>
        </w:rPr>
        <w:t xml:space="preserve">Age and Salary differ by two orders of magnitude. Without StandardScaler, distance-based models (KNN, SVM) would be dominated by salary. Scaling both features to the same range is essential for these classifiers.</w:t>
      </w:r>
    </w:p>
    <w:p w14:paraId="0010013E" w14:textId="0010013F">
      <w:pPr>
        <w:pStyle w:val="Heading1"/>
        <w:spacing w:before="320" w:after="160"/>
      </w:pPr>
      <w:r>
        <w:rPr>
          <w:b/>
          <w:sz w:val="36"/>
        </w:rPr>
        <w:t xml:space="preserve">10. How to Run the Project</w:t>
      </w:r>
    </w:p>
    <w:p w14:paraId="00100140" w14:textId="00100141">
      <w:pPr>
        <w:pStyle w:val="Normal"/>
        <w:spacing w:after="80"/>
      </w:pPr>
      <w:r>
        <w:rPr>
          <w:b/>
          <w:sz w:val="22"/>
        </w:rPr>
        <w:t xml:space="preserve">Prerequisites: Python 3.9 or later installed.</w:t>
      </w:r>
    </w:p>
    <w:p w14:paraId="00100142" w14:textId="00100143">
      <w:pPr>
        <w:pStyle w:val="Normal"/>
        <w:spacing w:after="160"/>
      </w:pPr>
      <w:r>
        <w:rPr>
          <w:sz w:val="22"/>
        </w:rPr>
        <w:t xml:space="preserve">Step 1 — Install dependencies</w:t>
      </w:r>
    </w:p>
    <w:p w14:paraId="00100144" w14:textId="00100145">
      <w:pPr>
        <w:pStyle w:val="Normal"/>
        <w:spacing w:after="160"/>
      </w:pPr>
      <w:r>
        <w:rPr>
          <w:sz w:val="22"/>
        </w:rPr>
        <w:t xml:space="preserve">    pip install -r requirements.txt</w:t>
      </w:r>
    </w:p>
    <w:p w14:paraId="00100146" w14:textId="00100147">
      <w:pPr>
        <w:pStyle w:val="Normal"/>
        <w:spacing w:after="160"/>
      </w:pPr>
      <w:r>
        <w:rPr>
          <w:sz w:val="22"/>
        </w:rPr>
        <w:t xml:space="preserve"/>
      </w:r>
    </w:p>
    <w:p w14:paraId="00100148" w14:textId="00100149">
      <w:pPr>
        <w:pStyle w:val="Normal"/>
        <w:spacing w:after="160"/>
      </w:pPr>
      <w:r>
        <w:rPr>
          <w:sz w:val="22"/>
        </w:rPr>
        <w:t xml:space="preserve">Step 2 — Start the server</w:t>
      </w:r>
    </w:p>
    <w:p w14:paraId="0010014A" w14:textId="0010014B">
      <w:pPr>
        <w:pStyle w:val="Normal"/>
        <w:spacing w:after="160"/>
      </w:pPr>
      <w:r>
        <w:rPr>
          <w:sz w:val="22"/>
        </w:rPr>
        <w:t xml:space="preserve">    python app.py</w:t>
      </w:r>
    </w:p>
    <w:p w14:paraId="0010014C" w14:textId="0010014D">
      <w:pPr>
        <w:pStyle w:val="Normal"/>
        <w:spacing w:after="160"/>
      </w:pPr>
      <w:r>
        <w:rPr>
          <w:sz w:val="22"/>
        </w:rPr>
        <w:t xml:space="preserve"/>
      </w:r>
    </w:p>
    <w:p w14:paraId="0010014E" w14:textId="0010014F">
      <w:pPr>
        <w:pStyle w:val="Normal"/>
        <w:spacing w:after="160"/>
      </w:pPr>
      <w:r>
        <w:rPr>
          <w:sz w:val="22"/>
        </w:rPr>
        <w:t xml:space="preserve">Step 3 — Open the browser</w:t>
      </w:r>
    </w:p>
    <w:p w14:paraId="00100150" w14:textId="00100151">
      <w:pPr>
        <w:pStyle w:val="Normal"/>
        <w:spacing w:after="160"/>
      </w:pPr>
      <w:r>
        <w:rPr>
          <w:sz w:val="22"/>
        </w:rPr>
        <w:t xml:space="preserve">    Navigate to:  http://127.0.0.1:5000</w:t>
      </w:r>
    </w:p>
    <w:p w14:paraId="00100152" w14:textId="00100153">
      <w:pPr>
        <w:pStyle w:val="Normal"/>
        <w:spacing w:after="160"/>
      </w:pPr>
      <w:r>
        <w:rPr>
          <w:sz w:val="22"/>
        </w:rPr>
        <w:t xml:space="preserve"/>
      </w:r>
    </w:p>
    <w:p w14:paraId="00100154" w14:textId="00100155">
      <w:pPr>
        <w:pStyle w:val="Normal"/>
        <w:spacing w:after="160"/>
      </w:pPr>
      <w:r>
        <w:rPr>
          <w:sz w:val="22"/>
        </w:rPr>
        <w:t xml:space="preserve">Step 4 — Upload and train</w:t>
      </w:r>
    </w:p>
    <w:p w14:paraId="00100156" w14:textId="00100157">
      <w:pPr>
        <w:pStyle w:val="Normal"/>
        <w:spacing w:after="160"/>
      </w:pPr>
      <w:r>
        <w:rPr>
          <w:sz w:val="22"/>
        </w:rPr>
        <w:t xml:space="preserve">    Click 'Choose File', select Social_Network_Ads.csv, click 'Train All Models'.</w:t>
      </w:r>
    </w:p>
    <w:p w14:paraId="00100158" w14:textId="00100159">
      <w:pPr>
        <w:pStyle w:val="Normal"/>
        <w:spacing w:after="160"/>
      </w:pPr>
      <w:r>
        <w:rPr>
          <w:sz w:val="22"/>
        </w:rPr>
        <w:t xml:space="preserve">    You will be redirected to the Dashboard automatically.</w:t>
      </w:r>
    </w:p>
    <w:p w14:paraId="0010015A" w14:textId="0010015B">
      <w:pPr>
        <w:pStyle w:val="Normal"/>
        <w:spacing w:after="160"/>
      </w:pPr>
      <w:r>
        <w:rPr>
          <w:sz w:val="22"/>
        </w:rPr>
        <w:t xml:space="preserve"/>
      </w:r>
    </w:p>
    <w:p w14:paraId="0010015C" w14:textId="0010015D">
      <w:pPr>
        <w:pStyle w:val="Normal"/>
        <w:spacing w:after="160"/>
      </w:pPr>
      <w:r>
        <w:rPr>
          <w:sz w:val="22"/>
        </w:rPr>
        <w:t xml:space="preserve">Step 5 — Explore</w:t>
      </w:r>
    </w:p>
    <w:p w14:paraId="0010015E" w14:textId="0010015F">
      <w:pPr>
        <w:pStyle w:val="Normal"/>
        <w:spacing w:after="160"/>
      </w:pPr>
      <w:r>
        <w:rPr>
          <w:sz w:val="22"/>
        </w:rPr>
        <w:t xml:space="preserve">    Visit Dashboard for metrics and charts.</w:t>
      </w:r>
    </w:p>
    <w:p w14:paraId="00100160" w14:textId="00100161">
      <w:pPr>
        <w:pStyle w:val="Normal"/>
        <w:spacing w:after="160"/>
      </w:pPr>
      <w:r>
        <w:rPr>
          <w:sz w:val="22"/>
        </w:rPr>
        <w:t xml:space="preserve">    Visit Predict for single-user or bulk purchase predictions.</w:t>
      </w:r>
    </w:p>
    <w:p w14:paraId="00100162" w14:textId="00100163">
      <w:pPr>
        <w:pStyle w:val="Heading1"/>
        <w:spacing w:before="320" w:after="160"/>
      </w:pPr>
      <w:r>
        <w:rPr>
          <w:b/>
          <w:sz w:val="36"/>
        </w:rPr>
        <w:t xml:space="preserve">11. File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64" w14:textId="00100165">
            <w:r>
              <w:t xml:space="preserve">File</w:t>
            </w:r>
          </w:p>
        </w:tc>
        <w:tc>
          <w:p w14:paraId="00100166" w14:textId="00100167">
            <w:r>
              <w:t xml:space="preserve">Purpose</w:t>
            </w:r>
          </w:p>
        </w:tc>
      </w:tr>
      <w:tr>
        <w:trPr/>
        <w:tc>
          <w:p w14:paraId="00100168" w14:textId="00100169">
            <w:r>
              <w:t xml:space="preserve">app.py</w:t>
            </w:r>
          </w:p>
        </w:tc>
        <w:tc>
          <w:p w14:paraId="0010016A" w14:textId="0010016B">
            <w:r>
              <w:t xml:space="preserve">All backend ML + Flask frontend — single entry point</w:t>
            </w:r>
          </w:p>
        </w:tc>
      </w:tr>
      <w:tr>
        <w:trPr/>
        <w:tc>
          <w:p w14:paraId="0010016C" w14:textId="0010016D">
            <w:r>
              <w:t xml:space="preserve">requirements.txt</w:t>
            </w:r>
          </w:p>
        </w:tc>
        <w:tc>
          <w:p w14:paraId="0010016E" w14:textId="0010016F">
            <w:r>
              <w:t xml:space="preserve">Python package dependencies with minimum version pins</w:t>
            </w:r>
          </w:p>
        </w:tc>
      </w:tr>
      <w:tr>
        <w:trPr/>
        <w:tc>
          <w:p w14:paraId="00100170" w14:textId="00100171">
            <w:r>
              <w:t xml:space="preserve">README.md</w:t>
            </w:r>
          </w:p>
        </w:tc>
        <w:tc>
          <w:p w14:paraId="00100172" w14:textId="00100173">
            <w:r>
              <w:t xml:space="preserve">Setup instructions, dataset info, feature overview</w:t>
            </w:r>
          </w:p>
        </w:tc>
      </w:tr>
      <w:tr>
        <w:trPr/>
        <w:tc>
          <w:p w14:paraId="00100174" w14:textId="00100175">
            <w:r>
              <w:t xml:space="preserve">Project_Report.docx</w:t>
            </w:r>
          </w:p>
        </w:tc>
        <w:tc>
          <w:p w14:paraId="00100176" w14:textId="00100177">
            <w:r>
              <w:t xml:space="preserve">This detailed project report</w:t>
            </w:r>
          </w:p>
        </w:tc>
      </w:tr>
    </w:tbl>
    <w:p w14:paraId="00100178" w14:textId="00100179">
      <w:pPr>
        <w:pStyle w:val="Heading1"/>
        <w:spacing w:before="320" w:after="160"/>
      </w:pPr>
      <w:r>
        <w:rPr>
          <w:b/>
          <w:sz w:val="36"/>
        </w:rPr>
        <w:t xml:space="preserve">12. Conclusion</w:t>
      </w:r>
    </w:p>
    <w:p w14:paraId="0010017A" w14:textId="0010017B">
      <w:pPr>
        <w:pStyle w:val="Normal"/>
        <w:spacing w:after="160"/>
      </w:pPr>
      <w:r>
        <w:rPr>
          <w:sz w:val="22"/>
        </w:rPr>
        <w:t xml:space="preserve">This project demonstrates a complete, production-ready machine learning classification pipeline delivered as a single-file Python web application. By training and comparing five classifiers, automatically selecting the best model, and providing an intuitive browser UI for model inspection and inference, it serves both as a learning reference and a deployable tool. The architecture — all code in app.py, no separate template files or static assets — keeps the project portable and easy to share.</w:t>
      </w:r>
    </w:p>
    <w:p w14:paraId="0010017C" w14:textId="0010017D">
      <w:pPr>
        <w:pStyle w:val="Normal"/>
        <w:spacing w:after="480"/>
      </w:pPr>
      <w:r>
        <w:rPr>
          <w:sz w:val="22"/>
        </w:rPr>
        <w:t xml:space="preserve">The Social Network Ads dataset, though small, provides a clean demonstration of how non-linear classifiers outperform linear baselines on data with a curved decision boundary. The same app.py architecture can be extended to larger datasets, additional features, or more advanced models (XGBoost, neural networks) with minimal changes.</w:t>
      </w:r>
    </w:p>
    <w:p w14:paraId="0010017E" w14:textId="0010017F">
      <w:pPr>
        <w:pStyle w:val="Normal"/>
        <w:spacing w:after="160"/>
        <w:jc w:val="center"/>
      </w:pPr>
      <w:r>
        <w:rPr>
          <w:color w:val="57606A"/>
          <w:sz w:val="20"/>
        </w:rPr>
        <w:t xml:space="preserve">End of Report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899a6db790064404" /><Relationship Type="http://schemas.openxmlformats.org/officeDocument/2006/relationships/styles" Target="/word/styles.xml" Id="Rc2b5f2159b164c8d" /><Relationship Type="http://schemas.openxmlformats.org/officeDocument/2006/relationships/theme" Target="/word/theme/theme1.xml" Id="Rd42ed9d081414eaa" /><Relationship Type="http://schemas.openxmlformats.org/officeDocument/2006/relationships/numbering" Target="/word/numbering.xml" Id="Rb283bfc8e62641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2026-09-24T12:57:18Z</dcterms:created>
  <cp:lastModifiedBy>OfficeCLI</cp:lastModifiedBy>
  <dcterms:modified xsi:type="dcterms:W3CDTF">2026-09-24T12:57:18Z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2026-09-24T12:57:19Z</vt:lpwstr>
  </op:property>
</op:Properties>
</file>