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66AB" w14:textId="7C94DDF9" w:rsidR="001C6F6C" w:rsidRPr="00F27F25" w:rsidRDefault="00F27F25" w:rsidP="00F27F25">
      <w:pPr>
        <w:pStyle w:val="Heading1"/>
      </w:pPr>
      <w:r>
        <w:t>1</w:t>
      </w:r>
      <w:r w:rsidRPr="00F27F25">
        <w:t>.  Benchmarking: Practices at Other Indian Academic Incubation Centres</w:t>
      </w:r>
    </w:p>
    <w:p w14:paraId="10268065" w14:textId="77777777" w:rsidR="001C6F6C" w:rsidRDefault="00000000">
      <w:pPr>
        <w:spacing w:after="140" w:line="300" w:lineRule="auto"/>
        <w:jc w:val="both"/>
      </w:pPr>
      <w:r>
        <w:t>A scan of comparable institutional incubators shows several recurring design elements that are either absent or only lightly referenced in the current Annexure “A”:</w:t>
      </w:r>
    </w:p>
    <w:tbl>
      <w:tblPr>
        <w:tblStyle w:val="GridTable1Light-Accent1"/>
        <w:tblW w:w="9350" w:type="dxa"/>
        <w:tblLook w:val="04A0" w:firstRow="1" w:lastRow="0" w:firstColumn="1" w:lastColumn="0" w:noHBand="0" w:noVBand="1"/>
      </w:tblPr>
      <w:tblGrid>
        <w:gridCol w:w="2000"/>
        <w:gridCol w:w="3350"/>
        <w:gridCol w:w="4000"/>
      </w:tblGrid>
      <w:tr w:rsidR="001C6F6C" w14:paraId="3CC85044" w14:textId="77777777" w:rsidTr="00F2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018671A" w14:textId="77777777" w:rsidR="001C6F6C" w:rsidRPr="00F27F25" w:rsidRDefault="00000000">
            <w:pPr>
              <w:rPr>
                <w:color w:val="000000" w:themeColor="text1"/>
              </w:rPr>
            </w:pPr>
            <w:r w:rsidRPr="00F27F25">
              <w:rPr>
                <w:color w:val="000000" w:themeColor="text1"/>
                <w:sz w:val="18"/>
                <w:szCs w:val="18"/>
              </w:rPr>
              <w:t>Institution / Model</w:t>
            </w:r>
          </w:p>
        </w:tc>
        <w:tc>
          <w:tcPr>
            <w:tcW w:w="3350" w:type="dxa"/>
          </w:tcPr>
          <w:p w14:paraId="33382411" w14:textId="77777777" w:rsidR="001C6F6C" w:rsidRPr="00F27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7F25">
              <w:rPr>
                <w:color w:val="000000" w:themeColor="text1"/>
                <w:sz w:val="18"/>
                <w:szCs w:val="18"/>
              </w:rPr>
              <w:t>Design Element</w:t>
            </w:r>
          </w:p>
        </w:tc>
        <w:tc>
          <w:tcPr>
            <w:tcW w:w="4000" w:type="dxa"/>
          </w:tcPr>
          <w:p w14:paraId="0BCC6EEE" w14:textId="1460E492" w:rsidR="0031058C" w:rsidRPr="00F27F25" w:rsidRDefault="003105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1058C">
              <w:rPr>
                <w:color w:val="000000" w:themeColor="text1"/>
                <w:sz w:val="18"/>
                <w:szCs w:val="18"/>
              </w:rPr>
              <w:t>Applicability to FED in IIM Raipur</w:t>
            </w:r>
          </w:p>
        </w:tc>
      </w:tr>
      <w:tr w:rsidR="001C6F6C" w14:paraId="0ADD2C8F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BBC1632" w14:textId="1BD327CA" w:rsidR="001C6F6C" w:rsidRDefault="00000000">
            <w:r>
              <w:rPr>
                <w:sz w:val="18"/>
                <w:szCs w:val="18"/>
              </w:rPr>
              <w:t xml:space="preserve">IIT Bombay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SINE / IDEAS</w:t>
            </w:r>
          </w:p>
        </w:tc>
        <w:tc>
          <w:tcPr>
            <w:tcW w:w="3350" w:type="dxa"/>
          </w:tcPr>
          <w:p w14:paraId="29AC5FAC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 tiered pre-incubation pathway (Level 0 ideation, Level 1 problem-solution fit, Level 2 product-market fit) before formal incubation; equity-free micro-grants at early stages, with equity-based grants only once a venture reaches SINE; an alumni-funded track (Class of 1990) that runs alongside the institutional incubator.</w:t>
            </w:r>
          </w:p>
        </w:tc>
        <w:tc>
          <w:tcPr>
            <w:tcW w:w="4000" w:type="dxa"/>
          </w:tcPr>
          <w:p w14:paraId="54DF055A" w14:textId="2F82085B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Annexure “A”'s Sprint 1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4 structure begins directly with induction and market analysis; adding an ideation/pre-incubation stage before Sprint 1 would let FED screen and shape applicants before committing full program resources, and mirrors how SINE separates “pre-incubation” from “incubation.”</w:t>
            </w:r>
          </w:p>
        </w:tc>
      </w:tr>
      <w:tr w:rsidR="001C6F6C" w14:paraId="43821245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2031BC6" w14:textId="23F502BC" w:rsidR="001C6F6C" w:rsidRDefault="00000000">
            <w:r w:rsidRPr="00D344BF">
              <w:rPr>
                <w:color w:val="EE0000"/>
                <w:sz w:val="18"/>
                <w:szCs w:val="18"/>
              </w:rPr>
              <w:t xml:space="preserve">IIT Delhi </w:t>
            </w:r>
            <w:r w:rsidR="00F27F25" w:rsidRPr="00D344BF">
              <w:rPr>
                <w:color w:val="EE0000"/>
                <w:sz w:val="18"/>
                <w:szCs w:val="18"/>
              </w:rPr>
              <w:t>-</w:t>
            </w:r>
            <w:r w:rsidRPr="00D344BF">
              <w:rPr>
                <w:color w:val="EE0000"/>
                <w:sz w:val="18"/>
                <w:szCs w:val="18"/>
              </w:rPr>
              <w:t xml:space="preserve"> FITT (TBI)</w:t>
            </w:r>
          </w:p>
        </w:tc>
        <w:tc>
          <w:tcPr>
            <w:tcW w:w="3350" w:type="dxa"/>
          </w:tcPr>
          <w:p w14:paraId="2C4D731E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Recognised Technology Business Incubator (TBI) status; provides both debt and equity investment to startups (not just mentoring); dedicated IPR management, legal and financial guidance as a standing service line; runs demo days connecting startups directly to angel/VC networks.</w:t>
            </w:r>
          </w:p>
        </w:tc>
        <w:tc>
          <w:tcPr>
            <w:tcW w:w="4000" w:type="dxa"/>
          </w:tcPr>
          <w:p w14:paraId="324606DD" w14:textId="34E6C43F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The current draft is silent on whether FED will pursue TBI/DST or NITI Aayog (AIM) recognition for the Centre, and has no clause on direct debt/equity support to startups, IPR management services, or structured investor demo days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all standard at comparable centres.</w:t>
            </w:r>
          </w:p>
        </w:tc>
      </w:tr>
      <w:tr w:rsidR="001C6F6C" w14:paraId="126D5E0B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03AD91" w14:textId="26C5094B" w:rsidR="001C6F6C" w:rsidRDefault="00000000">
            <w:r>
              <w:rPr>
                <w:sz w:val="18"/>
                <w:szCs w:val="18"/>
              </w:rPr>
              <w:t xml:space="preserve">IIT Madras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CIFIL</w:t>
            </w:r>
          </w:p>
        </w:tc>
        <w:tc>
          <w:tcPr>
            <w:tcW w:w="3350" w:type="dxa"/>
          </w:tcPr>
          <w:p w14:paraId="58267EF9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Selective, small-cohort intake (10 startups/cohort) in exchange for a modest equity stake (1%); continued alumni-network access, mentorship and investor introductions after formal graduation from the program.</w:t>
            </w:r>
          </w:p>
        </w:tc>
        <w:tc>
          <w:tcPr>
            <w:tcW w:w="4000" w:type="dxa"/>
          </w:tcPr>
          <w:p w14:paraId="57E1F47E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Annexure “A”'s Selection Mechanism defines entry criteria and scoring but has no post-graduation/alumni engagement clause, and no mention of whether FED/AIC@36Inc will take an equity stake, service fee, or purely grant-based approach to individual startups.</w:t>
            </w:r>
          </w:p>
        </w:tc>
      </w:tr>
      <w:tr w:rsidR="001C6F6C" w14:paraId="1C05DE21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8BD7E6D" w14:textId="21497B12" w:rsidR="001C6F6C" w:rsidRDefault="00000000">
            <w:r>
              <w:rPr>
                <w:sz w:val="18"/>
                <w:szCs w:val="18"/>
              </w:rPr>
              <w:t xml:space="preserve">IIM Ahmedabad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CIIE / IIMA Ventures</w:t>
            </w:r>
          </w:p>
        </w:tc>
        <w:tc>
          <w:tcPr>
            <w:tcW w:w="3350" w:type="dxa"/>
          </w:tcPr>
          <w:p w14:paraId="68A7D870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Operates dedicated sub-vehicles for specific verticals (a climate fund, a fintech-inclusion initiative) rather than one undifferentiated pipeline; strong published research and thought-leadership output alongside incubation.</w:t>
            </w:r>
          </w:p>
        </w:tc>
        <w:tc>
          <w:tcPr>
            <w:tcW w:w="4000" w:type="dxa"/>
          </w:tcPr>
          <w:p w14:paraId="0A272D69" w14:textId="60FFA6D5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Suggests the Joint Incubation Centre could similarly define 1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2 named sectoral verticals (e.g., </w:t>
            </w:r>
            <w:proofErr w:type="spellStart"/>
            <w:r>
              <w:rPr>
                <w:sz w:val="18"/>
                <w:szCs w:val="18"/>
              </w:rPr>
              <w:t>agri</w:t>
            </w:r>
            <w:proofErr w:type="spellEnd"/>
            <w:r>
              <w:rPr>
                <w:sz w:val="18"/>
                <w:szCs w:val="18"/>
              </w:rPr>
              <w:t xml:space="preserve">-tech, mineral/metal-linked manufacturing, IT/ITES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aligned to Chhattisgarh's economic base) rather than remaining fully sector-agnostic, and could commit to at least an annual published outcomes report.</w:t>
            </w:r>
          </w:p>
        </w:tc>
      </w:tr>
      <w:tr w:rsidR="001C6F6C" w14:paraId="0E768469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8274852" w14:textId="6F87871C" w:rsidR="001C6F6C" w:rsidRDefault="00000000">
            <w:r>
              <w:rPr>
                <w:sz w:val="18"/>
                <w:szCs w:val="18"/>
              </w:rPr>
              <w:t xml:space="preserve">IIT Madras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CREST / YNOS</w:t>
            </w:r>
          </w:p>
        </w:tc>
        <w:tc>
          <w:tcPr>
            <w:tcW w:w="3350" w:type="dxa"/>
          </w:tcPr>
          <w:p w14:paraId="060E2B56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Maintains a structured data repository and dashboard on startups, founders, mentors and investors, shared across the ecosystem and used for research and reporting.</w:t>
            </w:r>
          </w:p>
        </w:tc>
        <w:tc>
          <w:tcPr>
            <w:tcW w:w="4000" w:type="dxa"/>
          </w:tcPr>
          <w:p w14:paraId="68A148E6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Annexure “A” requires FED to maintain records and furnish periodic statements, but does not specify a structured MIS/dashboard; adopting one would improve Steering Committee oversight and simplify state/central government reporting.</w:t>
            </w:r>
          </w:p>
        </w:tc>
      </w:tr>
      <w:tr w:rsidR="001C6F6C" w14:paraId="3F60B866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3C27659" w14:textId="54287CA9" w:rsidR="001C6F6C" w:rsidRDefault="00000000">
            <w:r w:rsidRPr="00D344BF">
              <w:rPr>
                <w:color w:val="EE0000"/>
                <w:sz w:val="18"/>
                <w:szCs w:val="18"/>
              </w:rPr>
              <w:t xml:space="preserve">IIT Patna </w:t>
            </w:r>
            <w:r w:rsidR="00F27F25" w:rsidRPr="00D344BF">
              <w:rPr>
                <w:color w:val="EE0000"/>
                <w:sz w:val="18"/>
                <w:szCs w:val="18"/>
              </w:rPr>
              <w:t>-</w:t>
            </w:r>
            <w:r w:rsidRPr="00D344BF">
              <w:rPr>
                <w:color w:val="EE0000"/>
                <w:sz w:val="18"/>
                <w:szCs w:val="18"/>
              </w:rPr>
              <w:t xml:space="preserve"> Incubation Centre (IC)</w:t>
            </w:r>
          </w:p>
        </w:tc>
        <w:tc>
          <w:tcPr>
            <w:tcW w:w="3350" w:type="dxa"/>
          </w:tcPr>
          <w:p w14:paraId="06433C1B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Sector-focused infrastructure (Electronic System Design &amp; Manufacturing, medical electronics) built around specialised labs, plus named third-party partnerships (e.g., with a medical-device design centre, an angel network) that plug specific gaps in the incubator's own capability.</w:t>
            </w:r>
          </w:p>
        </w:tc>
        <w:tc>
          <w:tcPr>
            <w:tcW w:w="4000" w:type="dxa"/>
          </w:tcPr>
          <w:p w14:paraId="5C659061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Recommends Annexure “A” name specific infrastructure commitments (labs, testing/prototyping facilities) within the 10,000 sq. ft. allocation, and name specific external partners (angel networks, sector-specific testing labs) FED intends to plug in, rather than referring only generally to “investor outreach.”</w:t>
            </w:r>
          </w:p>
        </w:tc>
      </w:tr>
    </w:tbl>
    <w:p w14:paraId="246C2938" w14:textId="40549212" w:rsidR="001C6F6C" w:rsidRDefault="00F27F25" w:rsidP="00F27F25">
      <w:pPr>
        <w:pStyle w:val="Heading1"/>
      </w:pPr>
      <w:r>
        <w:t>2. Recommendations</w:t>
      </w:r>
    </w:p>
    <w:p w14:paraId="5C54B36B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t>No direct funding mechanism to individual startups is specified - the document defines a 70:30 revenue share between AIC@36Inc and FED, but says nothing about whether startups receive equity-free grants, debt, or equity-linked support, which is a standard, explicit feature at SINE, FITT and CIFIL.</w:t>
      </w:r>
    </w:p>
    <w:p w14:paraId="3873FBB2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t>No IP ownership, patent-filing support, or legal/compliance service line is mentioned, despite this being a core value-add at FITT and other TBIs and a common source of later dispute if left undefined.</w:t>
      </w:r>
    </w:p>
    <w:p w14:paraId="548B9DC0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t>The Sprint 1-4 curriculum begins directly with induction and market analysis; there is no lighter-weight pre-incubation or ideation stage to screen and prepare applicants before they enter the full program, unlike IIT Bombay's tiered Level 0/1/2 model.</w:t>
      </w:r>
    </w:p>
    <w:p w14:paraId="0B2FB089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There is no alumni-engagement or post-graduation clause; once a startup exits Sprint 4, the document is silent on continued mentorship, investor introduction, or brand affiliation - a point most peer incubators treat as important for long-term reputation and deal flow.</w:t>
      </w:r>
    </w:p>
    <w:p w14:paraId="3F942CD2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t>The document does not reference DST/NITI Aayog (AIM) incubator recognition, which is what unlocks central grant-in-aid and standard reporting formats used by most named peer institutions.</w:t>
      </w:r>
    </w:p>
    <w:p w14:paraId="32883ED8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t>No structured MIS/dashboard for tracking startups, mentors, funds and outcomes is specified beyond “periodic statements,” whereas peer centres increasingly run a live data system for both internal review and external reporting.</w:t>
      </w:r>
    </w:p>
    <w:p w14:paraId="2FDFB40B" w14:textId="77777777" w:rsidR="00F27F25" w:rsidRDefault="00F27F25" w:rsidP="00F27F25">
      <w:pPr>
        <w:pStyle w:val="ListParagraph"/>
        <w:numPr>
          <w:ilvl w:val="0"/>
          <w:numId w:val="2"/>
        </w:numPr>
        <w:spacing w:after="80" w:line="280" w:lineRule="auto"/>
      </w:pPr>
      <w:r>
        <w:t>The MoU itself (Annexure “A”) has no term/duration, renewal, or exit/termination clause for the partnership between AIC@36Inc and FED - only the operational and revenue-sharing terms are defined.</w:t>
      </w:r>
    </w:p>
    <w:p w14:paraId="647612B2" w14:textId="564A7401" w:rsidR="001C6F6C" w:rsidRPr="00F27F25" w:rsidRDefault="00F27F25" w:rsidP="00F27F25">
      <w:pPr>
        <w:pStyle w:val="Heading2"/>
      </w:pPr>
      <w:proofErr w:type="gramStart"/>
      <w:r>
        <w:t>2</w:t>
      </w:r>
      <w:r w:rsidRPr="00F27F25">
        <w:t>.1  Section</w:t>
      </w:r>
      <w:proofErr w:type="gramEnd"/>
      <w:r w:rsidRPr="00F27F25">
        <w:t xml:space="preserve"> I </w:t>
      </w:r>
      <w:r>
        <w:t>-</w:t>
      </w:r>
      <w:r w:rsidRPr="00F27F25">
        <w:t xml:space="preserve"> Objective</w:t>
      </w:r>
    </w:p>
    <w:p w14:paraId="20B83033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 a statement on whether the Centre will seek recognition as a NITI Aayog Atal Incubation Centre / DST-recognised Technology Business Incubator, since this affects eligibility for central grant-in-aid and standard reporting formats.</w:t>
      </w:r>
    </w:p>
    <w:p w14:paraId="551DDFD4" w14:textId="7A6E58D5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Consider naming 1</w:t>
      </w:r>
      <w:r w:rsidR="00F27F25">
        <w:t>-</w:t>
      </w:r>
      <w:r>
        <w:t xml:space="preserve">2 priority sectoral verticals aligned to Chhattisgarh's economic base (e.g., </w:t>
      </w:r>
      <w:proofErr w:type="spellStart"/>
      <w:r>
        <w:t>agri</w:t>
      </w:r>
      <w:proofErr w:type="spellEnd"/>
      <w:r>
        <w:t xml:space="preserve">-tech and </w:t>
      </w:r>
      <w:proofErr w:type="spellStart"/>
      <w:r>
        <w:t>agro</w:t>
      </w:r>
      <w:proofErr w:type="spellEnd"/>
      <w:r>
        <w:t>-processing, mineral/metal-linked manufacturing, IT/ITES) rather than remaining fully sector-agnostic, mirroring how peer centres focus their comparative strengths.</w:t>
      </w:r>
    </w:p>
    <w:p w14:paraId="7620B6E8" w14:textId="21036F45" w:rsidR="001C6F6C" w:rsidRPr="00F27F25" w:rsidRDefault="00F27F25" w:rsidP="00F27F25">
      <w:pPr>
        <w:pStyle w:val="Heading2"/>
      </w:pPr>
      <w:proofErr w:type="gramStart"/>
      <w:r>
        <w:t>2</w:t>
      </w:r>
      <w:r w:rsidRPr="00F27F25">
        <w:t>.2  Section</w:t>
      </w:r>
      <w:proofErr w:type="gramEnd"/>
      <w:r w:rsidRPr="00F27F25">
        <w:t xml:space="preserve"> II </w:t>
      </w:r>
      <w:r>
        <w:t>-</w:t>
      </w:r>
      <w:r w:rsidRPr="00F27F25">
        <w:t xml:space="preserve"> Terms &amp; Conditions</w:t>
      </w:r>
    </w:p>
    <w:p w14:paraId="6015DBE3" w14:textId="3A17F34B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Add a clause specifying the funding instrument(s) available to individual startups </w:t>
      </w:r>
      <w:r w:rsidR="00F27F25">
        <w:t>-</w:t>
      </w:r>
      <w:r>
        <w:t xml:space="preserve"> equity-free grant, debt, or equity-linked support </w:t>
      </w:r>
      <w:r w:rsidR="00F27F25">
        <w:t>-</w:t>
      </w:r>
      <w:r>
        <w:t xml:space="preserve"> and whether AIC@36Inc/FED will take any equity stake in incubated ventures, following the FITT/CIFIL precedent of stating this explicitly rather than leaving it to case-by-case discretion.</w:t>
      </w:r>
    </w:p>
    <w:p w14:paraId="41A18C2D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 a clause on IP ownership and patent-filing support: whether IP generated during incubation vests with the founder, FED, or is jointly held, and whether FED will provide in-house or empanelled IPR/legal support.</w:t>
      </w:r>
    </w:p>
    <w:p w14:paraId="6D8B65B9" w14:textId="12A0BD05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 a term/duration clause for the MoU itself (e.g., initial term of 3</w:t>
      </w:r>
      <w:r w:rsidR="00F27F25">
        <w:t>-</w:t>
      </w:r>
      <w:r>
        <w:t>5 years with a defined renewal and exit/termination mechanism), which is currently absent from Annexure “A” though this is a partnership agreement between two institutions.</w:t>
      </w:r>
    </w:p>
    <w:p w14:paraId="17CA6012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 a clause requiring FED to pursue relevant recognitions (TBI/DST, AIM/NITI Aayog) and to report against the standard KPI formats those bodies require.</w:t>
      </w:r>
    </w:p>
    <w:p w14:paraId="49D461BD" w14:textId="28E2BE26" w:rsidR="001C6F6C" w:rsidRPr="00F27F25" w:rsidRDefault="00F27F25" w:rsidP="00F27F25">
      <w:pPr>
        <w:pStyle w:val="Heading2"/>
      </w:pPr>
      <w:proofErr w:type="gramStart"/>
      <w:r>
        <w:t>2</w:t>
      </w:r>
      <w:r w:rsidRPr="00F27F25">
        <w:t>.3  Section</w:t>
      </w:r>
      <w:proofErr w:type="gramEnd"/>
      <w:r w:rsidRPr="00F27F25">
        <w:t xml:space="preserve"> V </w:t>
      </w:r>
      <w:r>
        <w:t>-</w:t>
      </w:r>
      <w:r w:rsidRPr="00F27F25">
        <w:t xml:space="preserve"> Incubation Program Structure</w:t>
      </w:r>
    </w:p>
    <w:p w14:paraId="73B66946" w14:textId="64137DEF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Insert a lighter “Pre-Incubation / Ideation Stage” ahead of Sprint 1 </w:t>
      </w:r>
      <w:r w:rsidR="00F27F25">
        <w:t>-</w:t>
      </w:r>
      <w:r>
        <w:t xml:space="preserve"> short-duration, cohort-based, focused on idea validation and team formation </w:t>
      </w:r>
      <w:r w:rsidR="00F27F25">
        <w:t>-</w:t>
      </w:r>
      <w:r>
        <w:t xml:space="preserve"> so that only screened, committed applicants proceed into the resource-intensive Sprint 1</w:t>
      </w:r>
      <w:r w:rsidR="00F27F25">
        <w:t>-</w:t>
      </w:r>
      <w:r>
        <w:t>4 program, mirroring IIT Bombay's Level 0/1/2 design.</w:t>
      </w:r>
    </w:p>
    <w:p w14:paraId="37F18590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 a post-graduation/alumni-engagement clause: startups completing Sprint 4 retain access to the mentor network, investor introductions and the Centre's brand/network for an agreed period, rather than the relationship ending at graduation.</w:t>
      </w:r>
    </w:p>
    <w:p w14:paraId="479DA4C7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Specify the physical/technical infrastructure to be built within the 10,000 sq. ft. allocation (e.g., prototyping/testing labs, demo/pitch space, co-working area) rather than leaving “built-up space” undefined, following the IIT Patna model of naming lab/infrastructure commitments explicitly.</w:t>
      </w:r>
    </w:p>
    <w:p w14:paraId="05C73A5E" w14:textId="0C8D213D" w:rsidR="001C6F6C" w:rsidRPr="00F27F25" w:rsidRDefault="00F27F25" w:rsidP="00F27F25">
      <w:pPr>
        <w:pStyle w:val="Heading2"/>
      </w:pPr>
      <w:proofErr w:type="gramStart"/>
      <w:r>
        <w:t>2</w:t>
      </w:r>
      <w:r w:rsidRPr="00F27F25">
        <w:t>.4  Selection</w:t>
      </w:r>
      <w:proofErr w:type="gramEnd"/>
      <w:r w:rsidRPr="00F27F25">
        <w:t xml:space="preserve"> Mechanism &amp; Investor Connect</w:t>
      </w:r>
    </w:p>
    <w:p w14:paraId="4716D3FB" w14:textId="743DBD7D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Add a structured “Demo Day” or investor-pitch mechanism at the end of each sprint cycle (or at least at Sprint 4/graduation), formally connecting startups to angel investors, venture capital, and the FED/IIM Raipur alumni network </w:t>
      </w:r>
      <w:r w:rsidR="00F27F25">
        <w:t>-</w:t>
      </w:r>
      <w:r>
        <w:t xml:space="preserve"> a recurring feature at FITT, CIFIL and SINE.</w:t>
      </w:r>
    </w:p>
    <w:p w14:paraId="51CF27FD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Consider whether the existing 70-point minimum selection score and </w:t>
      </w:r>
      <w:proofErr w:type="spellStart"/>
      <w:r>
        <w:t>EiR</w:t>
      </w:r>
      <w:proofErr w:type="spellEnd"/>
      <w:r>
        <w:t>/Early-Stage/Growth-Stage rubric should be supplemented with an investor/industry member's independent score, to reduce reliance on a purely internal evaluation panel.</w:t>
      </w:r>
    </w:p>
    <w:p w14:paraId="133DECA7" w14:textId="5AC88748" w:rsidR="001C6F6C" w:rsidRPr="00F27F25" w:rsidRDefault="00F27F25" w:rsidP="00F27F25">
      <w:pPr>
        <w:pStyle w:val="Heading2"/>
      </w:pPr>
      <w:proofErr w:type="gramStart"/>
      <w:r>
        <w:lastRenderedPageBreak/>
        <w:t>2</w:t>
      </w:r>
      <w:r w:rsidRPr="00F27F25">
        <w:t>.5  Section</w:t>
      </w:r>
      <w:proofErr w:type="gramEnd"/>
      <w:r w:rsidRPr="00F27F25">
        <w:t xml:space="preserve"> VI </w:t>
      </w:r>
      <w:r>
        <w:t>-</w:t>
      </w:r>
      <w:r w:rsidRPr="00F27F25">
        <w:t xml:space="preserve"> Revenue / Profit-Sharing Mechanism</w:t>
      </w:r>
    </w:p>
    <w:p w14:paraId="49AC910B" w14:textId="0350BC2C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Clarify whether the 70:30 (AIC@36</w:t>
      </w:r>
      <w:proofErr w:type="gramStart"/>
      <w:r>
        <w:t>Inc:FED</w:t>
      </w:r>
      <w:proofErr w:type="gramEnd"/>
      <w:r>
        <w:t xml:space="preserve">) split applies only to institutional revenue (training, consulting, grants) or also captures any equity/return FED may realise from individual startups </w:t>
      </w:r>
      <w:r w:rsidR="00F27F25">
        <w:t>-</w:t>
      </w:r>
      <w:r>
        <w:t xml:space="preserve"> the current drafting does not address the latter, which becomes material once a funding instrument to startups is introduced (see 4.2).</w:t>
      </w:r>
    </w:p>
    <w:p w14:paraId="7C452CAF" w14:textId="04C713E5" w:rsidR="001C6F6C" w:rsidRPr="00F27F25" w:rsidRDefault="00F27F25" w:rsidP="00F27F25">
      <w:pPr>
        <w:pStyle w:val="Heading2"/>
      </w:pPr>
      <w:proofErr w:type="gramStart"/>
      <w:r>
        <w:t>2</w:t>
      </w:r>
      <w:r w:rsidRPr="00F27F25">
        <w:t>.6  Section</w:t>
      </w:r>
      <w:proofErr w:type="gramEnd"/>
      <w:r w:rsidRPr="00F27F25">
        <w:t xml:space="preserve"> VII </w:t>
      </w:r>
      <w:r>
        <w:t>-</w:t>
      </w:r>
      <w:r w:rsidRPr="00F27F25">
        <w:t xml:space="preserve"> Performance Review</w:t>
      </w:r>
    </w:p>
    <w:p w14:paraId="04D01FAD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 a structured MIS/dashboard requirement (startups, mentors, funds, outcomes tracked centrally and reviewed by the Steering Committee), consistent with the data-repository approach used by IIT Madras's CREST/YNOS initiative.</w:t>
      </w:r>
    </w:p>
    <w:p w14:paraId="3F5BEB1E" w14:textId="49D3C020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Add KPIs specific to what peer centres report against government schemes: number of patents filed/IP generated, follow-on investment raised by graduated startups, and jobs created </w:t>
      </w:r>
      <w:r w:rsidR="00F27F25">
        <w:t>-</w:t>
      </w:r>
      <w:r>
        <w:t xml:space="preserve"> the current KPI list already includes some of these but should be made explicit and measurable with baseline targets.</w:t>
      </w:r>
    </w:p>
    <w:p w14:paraId="4457AB60" w14:textId="0B8EC280" w:rsidR="001C6F6C" w:rsidRPr="00F27F25" w:rsidRDefault="00F27F25" w:rsidP="00F27F25">
      <w:pPr>
        <w:pStyle w:val="Heading1"/>
      </w:pPr>
      <w:r w:rsidRPr="00F27F25">
        <w:t>3.  Governance Structure</w:t>
      </w:r>
    </w:p>
    <w:p w14:paraId="725654AB" w14:textId="5AAD6BA9" w:rsidR="001C6F6C" w:rsidRDefault="00000000">
      <w:pPr>
        <w:spacing w:after="140" w:line="300" w:lineRule="auto"/>
        <w:jc w:val="both"/>
      </w:pPr>
      <w:r>
        <w:t xml:space="preserve">The Annexure currently proposes a four-member Steering Committee: </w:t>
      </w:r>
      <w:proofErr w:type="gramStart"/>
      <w:r>
        <w:t>the</w:t>
      </w:r>
      <w:proofErr w:type="gramEnd"/>
      <w:r>
        <w:t xml:space="preserve"> Director/Chairperson of IIM Raipur (Chairperson), the CEO of </w:t>
      </w:r>
      <w:proofErr w:type="spellStart"/>
      <w:r>
        <w:t>CHiPS</w:t>
      </w:r>
      <w:proofErr w:type="spellEnd"/>
      <w:r>
        <w:t xml:space="preserve">, the CEO of AIC@36Inc, and one member nominated by IIM Raipur. This is workable for routine institutional oversight, but benchmarked against peer incubators </w:t>
      </w:r>
      <w:r w:rsidR="00F27F25">
        <w:t>-</w:t>
      </w:r>
      <w:r>
        <w:t xml:space="preserve"> most of which involve an independent investor/industry voice and, where debt/equity decisions are made, a person with relevant financial/legal expertise </w:t>
      </w:r>
      <w:r w:rsidR="00F27F25">
        <w:t>-</w:t>
      </w:r>
      <w:r>
        <w:t xml:space="preserve"> two additions are worth considering:</w:t>
      </w:r>
    </w:p>
    <w:p w14:paraId="74FB194E" w14:textId="33D27410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An independent investor or industry-domain member (e.g., a venture capital or angel-network representative, or a senior alumni entrepreneur), since the Steering Committee approves the fund-disbursement mechanism and the procedure for selecting startups to be financially supported </w:t>
      </w:r>
      <w:r w:rsidR="00F27F25">
        <w:t>-</w:t>
      </w:r>
      <w:r>
        <w:t xml:space="preserve"> a decision that peer incubators typically do not leave entirely to internal institutional members.</w:t>
      </w:r>
    </w:p>
    <w:p w14:paraId="6006C8D5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 member with IP/legal or compliance expertise, particularly once equity, debt, or IP-ownership terms are introduced into the framework (Section 4.2 above), so that these clauses are reviewed by someone with the relevant background before they are exercised in individual startup agreements.</w:t>
      </w:r>
    </w:p>
    <w:p w14:paraId="7F538B30" w14:textId="0822C039" w:rsidR="001C6F6C" w:rsidRDefault="00F27F25" w:rsidP="00F27F25">
      <w:pPr>
        <w:pStyle w:val="Heading2"/>
      </w:pPr>
      <w:proofErr w:type="gramStart"/>
      <w:r>
        <w:t>3</w:t>
      </w:r>
      <w:r w:rsidRPr="00F27F25">
        <w:t>.1  Suggested</w:t>
      </w:r>
      <w:proofErr w:type="gramEnd"/>
      <w:r w:rsidRPr="00F27F25">
        <w:t xml:space="preserve"> Additional Members</w:t>
      </w:r>
    </w:p>
    <w:p w14:paraId="290DA7AD" w14:textId="77777777" w:rsidR="00DD4A92" w:rsidRPr="00DD4A92" w:rsidRDefault="00DD4A92" w:rsidP="00DD4A92"/>
    <w:tbl>
      <w:tblPr>
        <w:tblStyle w:val="GridTable1Light-Accent1"/>
        <w:tblW w:w="9350" w:type="dxa"/>
        <w:tblLook w:val="04A0" w:firstRow="1" w:lastRow="0" w:firstColumn="1" w:lastColumn="0" w:noHBand="0" w:noVBand="1"/>
      </w:tblPr>
      <w:tblGrid>
        <w:gridCol w:w="3200"/>
        <w:gridCol w:w="6150"/>
      </w:tblGrid>
      <w:tr w:rsidR="001C6F6C" w14:paraId="4C8D2E8B" w14:textId="77777777" w:rsidTr="00F27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30F9B49" w14:textId="77777777" w:rsidR="001C6F6C" w:rsidRPr="00F27F25" w:rsidRDefault="00000000">
            <w:pPr>
              <w:rPr>
                <w:color w:val="000000" w:themeColor="text1"/>
              </w:rPr>
            </w:pPr>
            <w:r w:rsidRPr="00F27F25">
              <w:rPr>
                <w:color w:val="000000" w:themeColor="text1"/>
                <w:sz w:val="18"/>
                <w:szCs w:val="18"/>
              </w:rPr>
              <w:t>Proposed Addition</w:t>
            </w:r>
          </w:p>
        </w:tc>
        <w:tc>
          <w:tcPr>
            <w:tcW w:w="6150" w:type="dxa"/>
          </w:tcPr>
          <w:p w14:paraId="48C51A42" w14:textId="77777777" w:rsidR="001C6F6C" w:rsidRPr="00F27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7F25">
              <w:rPr>
                <w:color w:val="000000" w:themeColor="text1"/>
                <w:sz w:val="18"/>
                <w:szCs w:val="18"/>
              </w:rPr>
              <w:t>Rationale</w:t>
            </w:r>
          </w:p>
        </w:tc>
      </w:tr>
      <w:tr w:rsidR="001C6F6C" w14:paraId="1F7C1F3D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5F3F58CB" w14:textId="311F0C67" w:rsidR="001C6F6C" w:rsidRDefault="00000000">
            <w:r>
              <w:rPr>
                <w:sz w:val="18"/>
                <w:szCs w:val="18"/>
              </w:rPr>
              <w:t xml:space="preserve">One Independent Member </w:t>
            </w:r>
            <w:r w:rsidR="00F27F25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investor, industry domain expert, or senior alumni entrepreneur, jointly agreed by both parties</w:t>
            </w:r>
          </w:p>
        </w:tc>
        <w:tc>
          <w:tcPr>
            <w:tcW w:w="6150" w:type="dxa"/>
          </w:tcPr>
          <w:p w14:paraId="1C3E5CD5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Provides an external, non-conflicted perspective on startup selection and fund disbursement decisions; standard practice at NITI Aayog-recognised incubators and consistent with how FITT/CIFIL/SINE structure their investor connect and selection process.</w:t>
            </w:r>
          </w:p>
        </w:tc>
      </w:tr>
      <w:tr w:rsidR="001C6F6C" w14:paraId="13AAC11C" w14:textId="77777777" w:rsidTr="00F27F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7C7220D" w14:textId="77777777" w:rsidR="001C6F6C" w:rsidRDefault="00000000">
            <w:r>
              <w:rPr>
                <w:sz w:val="18"/>
                <w:szCs w:val="18"/>
              </w:rPr>
              <w:t>One Member with IP/Legal or Compliance Expertise</w:t>
            </w:r>
          </w:p>
        </w:tc>
        <w:tc>
          <w:tcPr>
            <w:tcW w:w="6150" w:type="dxa"/>
          </w:tcPr>
          <w:p w14:paraId="2D724416" w14:textId="77777777" w:rsidR="001C6F6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Needed once IP ownership, patent-support, and any equity/debt instrument to startups are defined in the MoU (Section 4.2); reduces the risk of disputes over IP or equity terms that are currently undefined in Annexure “A”.</w:t>
            </w:r>
          </w:p>
        </w:tc>
      </w:tr>
    </w:tbl>
    <w:p w14:paraId="18BEFCBB" w14:textId="4C4D0D79" w:rsidR="001C6F6C" w:rsidRDefault="00000000">
      <w:pPr>
        <w:spacing w:after="140" w:line="300" w:lineRule="auto"/>
        <w:jc w:val="both"/>
      </w:pPr>
      <w:r>
        <w:t xml:space="preserve">If the Steering Committee is to remain lean, these two additions would take it from four to six members </w:t>
      </w:r>
      <w:r w:rsidR="00F27F25">
        <w:t>-</w:t>
      </w:r>
      <w:r>
        <w:t xml:space="preserve"> still smaller than the multi-stakeholder boards used at several peer TBIs, while directly addressing the two governance gaps (independent investor voice; IP/legal expertise) that follow from the funding and IP clauses recommended above.</w:t>
      </w:r>
    </w:p>
    <w:p w14:paraId="71F25631" w14:textId="634D4B27" w:rsidR="001C6F6C" w:rsidRPr="00F27F25" w:rsidRDefault="00F27F25" w:rsidP="00F27F25">
      <w:pPr>
        <w:pStyle w:val="Heading2"/>
      </w:pPr>
      <w:proofErr w:type="gramStart"/>
      <w:r>
        <w:t>3</w:t>
      </w:r>
      <w:r w:rsidRPr="00F27F25">
        <w:t>.2  Selection</w:t>
      </w:r>
      <w:proofErr w:type="gramEnd"/>
      <w:r w:rsidRPr="00F27F25">
        <w:t xml:space="preserve"> Committee - A Related but Distinct Body</w:t>
      </w:r>
    </w:p>
    <w:p w14:paraId="78E181D8" w14:textId="77777777" w:rsidR="001C6F6C" w:rsidRDefault="00000000">
      <w:pPr>
        <w:spacing w:after="140" w:line="300" w:lineRule="auto"/>
        <w:jc w:val="both"/>
      </w:pPr>
      <w:r>
        <w:t>Annexure “A” states that the Selection Committee will be constituted “as per the governing structure,” implying it mirrors the Steering Committee. Since the Selection Committee is the working-level body scoring individual startup applications, it is recommended that it be kept distinct from the Steering Committee and include:</w:t>
      </w:r>
    </w:p>
    <w:p w14:paraId="7E3F38F8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At least one FED faculty member with relevant sector/domain expertise for the specific applicant being evaluated;</w:t>
      </w:r>
    </w:p>
    <w:p w14:paraId="5A798BE3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A rotating external evaluator (an experienced founder, angel investor, or industry professional) for at least the Growth-Stage category, where commercial and investment readiness is being assessed and an internal-only panel may lack current market context.</w:t>
      </w:r>
    </w:p>
    <w:p w14:paraId="6BA79437" w14:textId="60418021" w:rsidR="001C6F6C" w:rsidRPr="00F27F25" w:rsidRDefault="00F27F25" w:rsidP="00F27F25">
      <w:pPr>
        <w:pStyle w:val="Heading1"/>
      </w:pPr>
      <w:r w:rsidRPr="00F27F25">
        <w:t>4.  Implementation Considerations</w:t>
      </w:r>
    </w:p>
    <w:p w14:paraId="16EDF500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Introducing an equity or debt instrument to startups is a materially different commitment from the current grant/oversight structure and would need its own legal drafting, valuation policy, and conflict-of-interest safeguards before being written into a binding agreement.</w:t>
      </w:r>
    </w:p>
    <w:p w14:paraId="41DCAD95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Adding an independent investor/industry member changes quorum and decision dynamics on the Steering Committee; this should be reflected consistently in both parties' internal approvals before the definitive agreement is signed.</w:t>
      </w:r>
    </w:p>
    <w:p w14:paraId="49FC09E4" w14:textId="77777777" w:rsidR="001C6F6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 pre-incubation/ideation stage and a post-graduation alumni track both carry incremental cost and staffing implications; these should be costed into the approved project budget referenced in Section </w:t>
      </w:r>
      <w:proofErr w:type="gramStart"/>
      <w:r>
        <w:t>II(</w:t>
      </w:r>
      <w:proofErr w:type="gramEnd"/>
      <w:r>
        <w:t>3) of Annexure “A” before being committed contractually.</w:t>
      </w:r>
    </w:p>
    <w:p w14:paraId="3ED87CCE" w14:textId="6F4308B5" w:rsidR="00D344BF" w:rsidRPr="00D344BF" w:rsidRDefault="00000000" w:rsidP="00D344BF">
      <w:pPr>
        <w:pStyle w:val="ListParagraph"/>
        <w:numPr>
          <w:ilvl w:val="0"/>
          <w:numId w:val="2"/>
        </w:numPr>
        <w:spacing w:after="80" w:line="280" w:lineRule="auto"/>
        <w:rPr>
          <w:rFonts w:asciiTheme="majorHAnsi" w:eastAsiaTheme="majorEastAsia" w:hAnsiTheme="majorHAnsi" w:cstheme="majorBidi"/>
          <w:color w:val="3E762A" w:themeColor="accent1" w:themeShade="BF"/>
          <w:sz w:val="32"/>
          <w:szCs w:val="32"/>
        </w:rPr>
      </w:pPr>
      <w:r>
        <w:t>Because FED is designated the sole implementing agency, the additional Steering Committee members should be positioned as oversight and review voices, not co-implementers, to preserve the clean accountability structure already built into the draft.</w:t>
      </w:r>
      <w:r w:rsidR="00D344BF">
        <w:br/>
      </w:r>
      <w:r w:rsidR="00D344BF">
        <w:br/>
      </w:r>
      <w:r w:rsidR="00D344BF" w:rsidRPr="00D344BF">
        <w:rPr>
          <w:rFonts w:asciiTheme="majorHAnsi" w:eastAsiaTheme="majorEastAsia" w:hAnsiTheme="majorHAnsi" w:cstheme="majorBidi"/>
          <w:color w:val="3E762A" w:themeColor="accent1" w:themeShade="BF"/>
          <w:sz w:val="32"/>
          <w:szCs w:val="32"/>
        </w:rPr>
        <w:t>Recommended fix — state it as an explicit waterfall:</w:t>
      </w:r>
    </w:p>
    <w:p w14:paraId="1238CD25" w14:textId="77777777" w:rsidR="00D344BF" w:rsidRDefault="00D344BF" w:rsidP="00D344BF">
      <w:pPr>
        <w:pStyle w:val="ListParagraph"/>
        <w:spacing w:after="80" w:line="280" w:lineRule="auto"/>
        <w:ind w:left="360"/>
      </w:pPr>
      <w:r>
        <w:t>Gross Revenue is generated from incubation activities, training, consulting, sponsorships, innovation programs, and grants carrying administrative overheads.</w:t>
      </w:r>
    </w:p>
    <w:p w14:paraId="2822C3E8" w14:textId="77777777" w:rsidR="00D344BF" w:rsidRDefault="00D344BF" w:rsidP="00D344BF">
      <w:pPr>
        <w:pStyle w:val="ListParagraph"/>
        <w:spacing w:after="80" w:line="280" w:lineRule="auto"/>
        <w:ind w:left="360"/>
      </w:pPr>
      <w:r>
        <w:t>Less: Direct Operating Expenses attributable to those activities → gives Net Revenue.</w:t>
      </w:r>
    </w:p>
    <w:p w14:paraId="58C26F59" w14:textId="77777777" w:rsidR="00D344BF" w:rsidRDefault="00D344BF" w:rsidP="00D344BF">
      <w:pPr>
        <w:pStyle w:val="ListParagraph"/>
        <w:spacing w:after="80" w:line="280" w:lineRule="auto"/>
        <w:ind w:left="360"/>
      </w:pPr>
      <w:r>
        <w:t>50% of Net Revenue is mandatorily reinvested by FED into incubation infrastructure, program outreach, and service upgrades.</w:t>
      </w:r>
    </w:p>
    <w:p w14:paraId="3636A1E4" w14:textId="77777777" w:rsidR="00D344BF" w:rsidRDefault="00D344BF" w:rsidP="00D344BF">
      <w:pPr>
        <w:pStyle w:val="ListParagraph"/>
        <w:spacing w:after="80" w:line="280" w:lineRule="auto"/>
        <w:ind w:left="360"/>
      </w:pPr>
      <w:r>
        <w:t>The remaining 50% (the "Distributable Surplus") is shared 70:30 — AIC@36Inc Society 70%, FED 30%.</w:t>
      </w:r>
    </w:p>
    <w:p w14:paraId="651444B8" w14:textId="68ED8BA1" w:rsidR="001C6F6C" w:rsidRDefault="001C6F6C" w:rsidP="00D344BF">
      <w:pPr>
        <w:pStyle w:val="ListParagraph"/>
        <w:spacing w:after="80" w:line="280" w:lineRule="auto"/>
        <w:ind w:left="360"/>
      </w:pPr>
    </w:p>
    <w:p w14:paraId="559D3F54" w14:textId="3474F569" w:rsidR="001C6F6C" w:rsidRDefault="00F27F25"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>- End of Advisory Note -</w:t>
      </w:r>
    </w:p>
    <w:sectPr w:rsidR="001C6F6C">
      <w:headerReference w:type="default" r:id="rId7"/>
      <w:footerReference w:type="default" r:id="rId8"/>
      <w:pgSz w:w="11906" w:h="16838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54DA" w14:textId="77777777" w:rsidR="00E61D26" w:rsidRDefault="00E61D26">
      <w:pPr>
        <w:spacing w:after="0" w:line="240" w:lineRule="auto"/>
      </w:pPr>
      <w:r>
        <w:separator/>
      </w:r>
    </w:p>
  </w:endnote>
  <w:endnote w:type="continuationSeparator" w:id="0">
    <w:p w14:paraId="64F7CB19" w14:textId="77777777" w:rsidR="00E61D26" w:rsidRDefault="00E6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64EF" w14:textId="77777777" w:rsidR="001C6F6C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27F2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27F2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6BAB" w14:textId="77777777" w:rsidR="00E61D26" w:rsidRDefault="00E61D26">
      <w:pPr>
        <w:spacing w:after="0" w:line="240" w:lineRule="auto"/>
      </w:pPr>
      <w:r>
        <w:separator/>
      </w:r>
    </w:p>
  </w:footnote>
  <w:footnote w:type="continuationSeparator" w:id="0">
    <w:p w14:paraId="4E4498C3" w14:textId="77777777" w:rsidR="00E61D26" w:rsidRDefault="00E6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0320" w14:textId="30621EC3" w:rsidR="001C6F6C" w:rsidRPr="00F27F25" w:rsidRDefault="001C6F6C" w:rsidP="00F27F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84914"/>
    <w:multiLevelType w:val="hybridMultilevel"/>
    <w:tmpl w:val="4CD29D52"/>
    <w:lvl w:ilvl="0" w:tplc="031E0938">
      <w:start w:val="1"/>
      <w:numFmt w:val="bullet"/>
      <w:lvlText w:val="●"/>
      <w:lvlJc w:val="left"/>
      <w:pPr>
        <w:ind w:left="720" w:hanging="360"/>
      </w:pPr>
    </w:lvl>
    <w:lvl w:ilvl="1" w:tplc="08CAA92C">
      <w:start w:val="1"/>
      <w:numFmt w:val="bullet"/>
      <w:lvlText w:val="○"/>
      <w:lvlJc w:val="left"/>
      <w:pPr>
        <w:ind w:left="1440" w:hanging="360"/>
      </w:pPr>
    </w:lvl>
    <w:lvl w:ilvl="2" w:tplc="9C669482">
      <w:start w:val="1"/>
      <w:numFmt w:val="bullet"/>
      <w:lvlText w:val="■"/>
      <w:lvlJc w:val="left"/>
      <w:pPr>
        <w:ind w:left="2160" w:hanging="360"/>
      </w:pPr>
    </w:lvl>
    <w:lvl w:ilvl="3" w:tplc="CFAA322C">
      <w:start w:val="1"/>
      <w:numFmt w:val="bullet"/>
      <w:lvlText w:val="●"/>
      <w:lvlJc w:val="left"/>
      <w:pPr>
        <w:ind w:left="2880" w:hanging="360"/>
      </w:pPr>
    </w:lvl>
    <w:lvl w:ilvl="4" w:tplc="0CCADE96">
      <w:start w:val="1"/>
      <w:numFmt w:val="bullet"/>
      <w:lvlText w:val="○"/>
      <w:lvlJc w:val="left"/>
      <w:pPr>
        <w:ind w:left="3600" w:hanging="360"/>
      </w:pPr>
    </w:lvl>
    <w:lvl w:ilvl="5" w:tplc="C518BBAA">
      <w:start w:val="1"/>
      <w:numFmt w:val="bullet"/>
      <w:lvlText w:val="■"/>
      <w:lvlJc w:val="left"/>
      <w:pPr>
        <w:ind w:left="4320" w:hanging="360"/>
      </w:pPr>
    </w:lvl>
    <w:lvl w:ilvl="6" w:tplc="20DCEBBE">
      <w:start w:val="1"/>
      <w:numFmt w:val="bullet"/>
      <w:lvlText w:val="●"/>
      <w:lvlJc w:val="left"/>
      <w:pPr>
        <w:ind w:left="5040" w:hanging="360"/>
      </w:pPr>
    </w:lvl>
    <w:lvl w:ilvl="7" w:tplc="81C00502">
      <w:start w:val="1"/>
      <w:numFmt w:val="bullet"/>
      <w:lvlText w:val="●"/>
      <w:lvlJc w:val="left"/>
      <w:pPr>
        <w:ind w:left="5760" w:hanging="360"/>
      </w:pPr>
    </w:lvl>
    <w:lvl w:ilvl="8" w:tplc="8E6C45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B29F1"/>
    <w:multiLevelType w:val="hybridMultilevel"/>
    <w:tmpl w:val="86329C1E"/>
    <w:lvl w:ilvl="0" w:tplc="C148671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C63AA"/>
    <w:multiLevelType w:val="hybridMultilevel"/>
    <w:tmpl w:val="6AB2C9B0"/>
    <w:lvl w:ilvl="0" w:tplc="166C8DE4">
      <w:start w:val="1"/>
      <w:numFmt w:val="bullet"/>
      <w:lvlText w:val="•"/>
      <w:lvlJc w:val="left"/>
      <w:pPr>
        <w:ind w:left="360" w:hanging="260"/>
      </w:pPr>
    </w:lvl>
    <w:lvl w:ilvl="1" w:tplc="FAB23FF8">
      <w:numFmt w:val="decimal"/>
      <w:lvlText w:val=""/>
      <w:lvlJc w:val="left"/>
    </w:lvl>
    <w:lvl w:ilvl="2" w:tplc="5A782B10">
      <w:numFmt w:val="decimal"/>
      <w:lvlText w:val=""/>
      <w:lvlJc w:val="left"/>
    </w:lvl>
    <w:lvl w:ilvl="3" w:tplc="75C6D1FE">
      <w:numFmt w:val="decimal"/>
      <w:lvlText w:val=""/>
      <w:lvlJc w:val="left"/>
    </w:lvl>
    <w:lvl w:ilvl="4" w:tplc="B72A5950">
      <w:numFmt w:val="decimal"/>
      <w:lvlText w:val=""/>
      <w:lvlJc w:val="left"/>
    </w:lvl>
    <w:lvl w:ilvl="5" w:tplc="BE624212">
      <w:numFmt w:val="decimal"/>
      <w:lvlText w:val=""/>
      <w:lvlJc w:val="left"/>
    </w:lvl>
    <w:lvl w:ilvl="6" w:tplc="3050BEF4">
      <w:numFmt w:val="decimal"/>
      <w:lvlText w:val=""/>
      <w:lvlJc w:val="left"/>
    </w:lvl>
    <w:lvl w:ilvl="7" w:tplc="4ABA20FA">
      <w:numFmt w:val="decimal"/>
      <w:lvlText w:val=""/>
      <w:lvlJc w:val="left"/>
    </w:lvl>
    <w:lvl w:ilvl="8" w:tplc="75D28DCA">
      <w:numFmt w:val="decimal"/>
      <w:lvlText w:val=""/>
      <w:lvlJc w:val="left"/>
    </w:lvl>
  </w:abstractNum>
  <w:num w:numId="1" w16cid:durableId="2079664285">
    <w:abstractNumId w:val="0"/>
    <w:lvlOverride w:ilvl="0">
      <w:startOverride w:val="1"/>
    </w:lvlOverride>
  </w:num>
  <w:num w:numId="2" w16cid:durableId="2075157646">
    <w:abstractNumId w:val="2"/>
    <w:lvlOverride w:ilvl="0">
      <w:startOverride w:val="1"/>
    </w:lvlOverride>
  </w:num>
  <w:num w:numId="3" w16cid:durableId="298338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6C"/>
    <w:rsid w:val="001C6F6C"/>
    <w:rsid w:val="0031058C"/>
    <w:rsid w:val="00681AC0"/>
    <w:rsid w:val="00755631"/>
    <w:rsid w:val="007C0EE3"/>
    <w:rsid w:val="00D344BF"/>
    <w:rsid w:val="00DD4A92"/>
    <w:rsid w:val="00E61D26"/>
    <w:rsid w:val="00F2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0D12"/>
  <w15:docId w15:val="{1BBF675E-2E9F-4638-B583-E2039059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25"/>
  </w:style>
  <w:style w:type="paragraph" w:styleId="Heading1">
    <w:name w:val="heading 1"/>
    <w:basedOn w:val="Normal"/>
    <w:next w:val="Normal"/>
    <w:link w:val="Heading1Char"/>
    <w:uiPriority w:val="9"/>
    <w:qFormat/>
    <w:rsid w:val="00F27F2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2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27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7F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F25"/>
  </w:style>
  <w:style w:type="paragraph" w:styleId="Footer">
    <w:name w:val="footer"/>
    <w:basedOn w:val="Normal"/>
    <w:link w:val="FooterChar"/>
    <w:uiPriority w:val="99"/>
    <w:unhideWhenUsed/>
    <w:rsid w:val="00F27F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F25"/>
  </w:style>
  <w:style w:type="character" w:customStyle="1" w:styleId="Heading1Char">
    <w:name w:val="Heading 1 Char"/>
    <w:basedOn w:val="DefaultParagraphFont"/>
    <w:link w:val="Heading1"/>
    <w:uiPriority w:val="9"/>
    <w:rsid w:val="00F27F25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7F2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25"/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2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25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25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25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25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25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7F2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F27F25"/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7F2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27F25"/>
    <w:rPr>
      <w:b/>
      <w:bCs/>
    </w:rPr>
  </w:style>
  <w:style w:type="character" w:styleId="Emphasis">
    <w:name w:val="Emphasis"/>
    <w:basedOn w:val="DefaultParagraphFont"/>
    <w:uiPriority w:val="20"/>
    <w:qFormat/>
    <w:rsid w:val="00F27F25"/>
    <w:rPr>
      <w:i/>
      <w:iCs/>
    </w:rPr>
  </w:style>
  <w:style w:type="paragraph" w:styleId="NoSpacing">
    <w:name w:val="No Spacing"/>
    <w:uiPriority w:val="1"/>
    <w:qFormat/>
    <w:rsid w:val="00F27F2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27F2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2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25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25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27F2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27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27F2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27F2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7F2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7F25"/>
    <w:pPr>
      <w:outlineLvl w:val="9"/>
    </w:pPr>
  </w:style>
  <w:style w:type="table" w:styleId="GridTable1Light-Accent1">
    <w:name w:val="Grid Table 1 Light Accent 1"/>
    <w:basedOn w:val="TableNormal"/>
    <w:uiPriority w:val="46"/>
    <w:rsid w:val="00F27F25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Himesh</cp:lastModifiedBy>
  <cp:revision>4</cp:revision>
  <dcterms:created xsi:type="dcterms:W3CDTF">2026-07-06T13:08:00Z</dcterms:created>
  <dcterms:modified xsi:type="dcterms:W3CDTF">2026-07-06T14:03:00Z</dcterms:modified>
</cp:coreProperties>
</file>