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3A5C"/>
          <w:sz w:val="52"/>
          <w:szCs w:val="52"/>
        </w:rPr>
        <w:t xml:space="preserve">philliphimes.com</w:t>
      </w:r>
    </w:p>
    <w:p>
      <w:pPr>
        <w:spacing w:after="80" w:before="0"/>
        <w:jc w:val="center"/>
      </w:pPr>
      <w:r>
        <w:rPr>
          <w:rFonts w:ascii="Arial" w:cs="Arial" w:eastAsia="Arial" w:hAnsi="Arial"/>
          <w:b/>
          <w:bCs/>
          <w:color w:val="2089A0"/>
          <w:sz w:val="36"/>
          <w:szCs w:val="36"/>
        </w:rPr>
        <w:t xml:space="preserve">IQ Brand Family — Website Strategy</w:t>
      </w:r>
    </w:p>
    <w:p>
      <w:pPr>
        <w:spacing w:after="40" w:before="0"/>
        <w:jc w:val="center"/>
      </w:pPr>
      <w:r>
        <w:rPr>
          <w:rFonts w:ascii="Arial" w:cs="Arial" w:eastAsia="Arial" w:hAnsi="Arial"/>
          <w:i/>
          <w:iCs/>
          <w:color w:val="888888"/>
          <w:sz w:val="22"/>
          <w:szCs w:val="22"/>
        </w:rPr>
        <w:t xml:space="preserve">Session: May 11, 2026  |  Status: Strategy Locked</w:t>
      </w:r>
    </w:p>
    <w:p>
      <w:pPr>
        <w:pBdr>
          <w:bottom w:val="single" w:color="2089A0" w:sz="6" w:space="1"/>
        </w:pBdr>
        <w:spacing w:after="160" w:before="160"/>
      </w:pPr>
      <w:r>
        <w:t xml:space="preserve"/>
      </w:r>
    </w:p>
    <w:p>
      <w:pPr>
        <w:spacing w:after="80" w:before="80"/>
        <w:jc w:val="center"/>
      </w:pPr>
      <w:r>
        <w:rPr>
          <w:rFonts w:ascii="Arial" w:cs="Arial" w:eastAsia="Arial" w:hAnsi="Arial"/>
          <w:i/>
          <w:iCs/>
          <w:color w:val="1B3A5C"/>
          <w:sz w:val="24"/>
          <w:szCs w:val="24"/>
        </w:rPr>
        <w:t xml:space="preserve">"The homepage is the hook. The briefing is the bridge. The portal is where the relationship is built."</w:t>
      </w:r>
    </w:p>
    <w:p>
      <w:pPr>
        <w:spacing w:after="0" w:before="360"/>
      </w:pPr>
      <w:r>
        <w:t xml:space="preserve"/>
      </w:r>
    </w:p>
    <w:p>
      <w:r>
        <w:br w:type="page"/>
      </w:r>
    </w:p>
    <w:p>
      <w:pPr>
        <w:pStyle w:val="Heading1"/>
        <w:spacing w:after="120" w:before="360"/>
      </w:pPr>
      <w:r>
        <w:rPr>
          <w:rFonts w:ascii="Arial" w:cs="Arial" w:eastAsia="Arial" w:hAnsi="Arial"/>
          <w:b/>
          <w:bCs/>
          <w:color w:val="1B3A5C"/>
          <w:sz w:val="36"/>
          <w:szCs w:val="36"/>
        </w:rPr>
        <w:t xml:space="preserve">1. The IQ Brand Family — Architecture Overview</w:t>
      </w:r>
    </w:p>
    <w:p>
      <w:pPr>
        <w:spacing w:after="80" w:before="80"/>
      </w:pPr>
      <w:r>
        <w:rPr>
          <w:rFonts w:ascii="Arial" w:cs="Arial" w:eastAsia="Arial" w:hAnsi="Arial"/>
          <w:color w:val="333333"/>
          <w:sz w:val="22"/>
          <w:szCs w:val="22"/>
        </w:rPr>
        <w:t xml:space="preserve">The site is built around four distinct intelligence portals, each serving a specific visitor at a specific stage of their journey. Every tool, every page, and every CTA filters through this architecture.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Portal</w:t>
            </w:r>
          </w:p>
        </w:tc>
        <w:tc>
          <w:tcPr>
            <w:tcW w:type="dxa" w:w="25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What It Is</w:t>
            </w:r>
          </w:p>
        </w:tc>
        <w:tc>
          <w:tcPr>
            <w:tcW w:type="dxa" w:w="25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Who It Serves</w:t>
            </w:r>
          </w:p>
        </w:tc>
        <w:tc>
          <w:tcPr>
            <w:tcW w:type="dxa" w:w="23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Feature Name</w:t>
            </w:r>
          </w:p>
        </w:tc>
      </w:tr>
      <w:tr>
        <w:tc>
          <w:tcPr>
            <w:tcW w:type="dxa" w:w="2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rFonts w:ascii="Arial" w:cs="Arial" w:eastAsia="Arial" w:hAnsi="Arial"/>
                <w:b/>
                <w:bCs/>
                <w:color w:val="1B3A5C"/>
                <w:sz w:val="20"/>
                <w:szCs w:val="20"/>
              </w:rPr>
              <w:t xml:space="preserve">BuyerIQ™</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Guided buyer assessment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Home buyers</w:t>
            </w:r>
          </w:p>
        </w:tc>
        <w:tc>
          <w:tcPr>
            <w:tcW w:type="dxa" w:w="236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b/>
                <w:bCs/>
                <w:color w:val="1B3A5C"/>
                <w:sz w:val="20"/>
                <w:szCs w:val="20"/>
              </w:rPr>
              <w:t xml:space="preserve">Buyer’s Edge™</w:t>
            </w:r>
          </w:p>
        </w:tc>
      </w:tr>
      <w:tr>
        <w:tc>
          <w:tcPr>
            <w:tcW w:type="dxa" w:w="2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rFonts w:ascii="Arial" w:cs="Arial" w:eastAsia="Arial" w:hAnsi="Arial"/>
                <w:b/>
                <w:bCs/>
                <w:color w:val="1B3A5C"/>
                <w:sz w:val="20"/>
                <w:szCs w:val="20"/>
              </w:rPr>
              <w:t xml:space="preserve">SellerIQ™</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Guided seller assessment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Home sellers</w:t>
            </w:r>
          </w:p>
        </w:tc>
        <w:tc>
          <w:tcPr>
            <w:tcW w:type="dxa" w:w="236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b/>
                <w:bCs/>
                <w:color w:val="1B3A5C"/>
                <w:sz w:val="20"/>
                <w:szCs w:val="20"/>
              </w:rPr>
              <w:t xml:space="preserve">Seller’s Edge™</w:t>
            </w:r>
          </w:p>
        </w:tc>
      </w:tr>
      <w:tr>
        <w:tc>
          <w:tcPr>
            <w:tcW w:type="dxa" w:w="2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rFonts w:ascii="Arial" w:cs="Arial" w:eastAsia="Arial" w:hAnsi="Arial"/>
                <w:b/>
                <w:bCs/>
                <w:color w:val="1B3A5C"/>
                <w:sz w:val="20"/>
                <w:szCs w:val="20"/>
              </w:rPr>
              <w:t xml:space="preserve">MarketIQ™</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Address intelligence tool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Buyers &amp; sellers on a specific property</w:t>
            </w:r>
          </w:p>
        </w:tc>
        <w:tc>
          <w:tcPr>
            <w:tcW w:type="dxa" w:w="236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b/>
                <w:bCs/>
                <w:color w:val="1B3A5C"/>
                <w:sz w:val="20"/>
                <w:szCs w:val="20"/>
              </w:rPr>
              <w:t xml:space="preserve">Address Lookup</w:t>
            </w:r>
          </w:p>
        </w:tc>
      </w:tr>
      <w:tr>
        <w:tc>
          <w:tcPr>
            <w:tcW w:type="dxa" w:w="2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rFonts w:ascii="Arial" w:cs="Arial" w:eastAsia="Arial" w:hAnsi="Arial"/>
                <w:b/>
                <w:bCs/>
                <w:color w:val="1B3A5C"/>
                <w:sz w:val="20"/>
                <w:szCs w:val="20"/>
              </w:rPr>
              <w:t xml:space="preserve">reLifeIQ™</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Homepage “why” video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All visitors before choosing a path</w:t>
            </w:r>
          </w:p>
        </w:tc>
        <w:tc>
          <w:tcPr>
            <w:tcW w:type="dxa" w:w="236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b/>
                <w:bCs/>
                <w:color w:val="1B3A5C"/>
                <w:sz w:val="20"/>
                <w:szCs w:val="20"/>
              </w:rPr>
              <w:t xml:space="preserve">The Why Video</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60"/>
              <w:left w:type="dxa" w:w="240"/>
              <w:bottom w:type="dxa" w:w="160"/>
              <w:right w:type="dxa" w:w="240"/>
            </w:tcMar>
          </w:tcPr>
          <w:p>
            <w:r>
              <w:rPr>
                <w:rFonts w:ascii="Arial" w:cs="Arial" w:eastAsia="Arial" w:hAnsi="Arial"/>
                <w:i/>
                <w:iCs/>
                <w:color w:val="333333"/>
                <w:sz w:val="22"/>
                <w:szCs w:val="22"/>
              </w:rPr>
              <w:t xml:space="preserve">Core principle: BuyerIQ™ and SellerIQ™ are not tool dashboards — they are guided assessment experiences. The tools serve the journey. The journey earns the opt-in.</w:t>
            </w:r>
          </w:p>
        </w:tc>
      </w:tr>
    </w:tbl>
    <w:p>
      <w:r>
        <w:br w:type="page"/>
      </w:r>
    </w:p>
    <w:p>
      <w:pPr>
        <w:pStyle w:val="Heading1"/>
        <w:spacing w:after="120" w:before="360"/>
      </w:pPr>
      <w:r>
        <w:rPr>
          <w:rFonts w:ascii="Arial" w:cs="Arial" w:eastAsia="Arial" w:hAnsi="Arial"/>
          <w:b/>
          <w:bCs/>
          <w:color w:val="1B3A5C"/>
          <w:sz w:val="36"/>
          <w:szCs w:val="36"/>
        </w:rPr>
        <w:t xml:space="preserve">2. Layer 1 vs. Portal Tool Placement</w:t>
      </w:r>
    </w:p>
    <w:p>
      <w:pPr>
        <w:spacing w:after="80" w:before="80"/>
      </w:pPr>
      <w:r>
        <w:rPr>
          <w:rFonts w:ascii="Arial" w:cs="Arial" w:eastAsia="Arial" w:hAnsi="Arial"/>
          <w:color w:val="333333"/>
          <w:sz w:val="22"/>
          <w:szCs w:val="22"/>
        </w:rPr>
        <w:t xml:space="preserve">The homepage (Layer 1) is the universal hook that serves everyone before they self-identify. The portals serve visitors who have committed to a path. Every tool lives in the right layer for the right reason.</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2100"/>
        <w:gridCol w:w="1660"/>
      </w:tblGrid>
      <w:tr>
        <w:tc>
          <w:tcPr>
            <w:tcW w:type="dxa" w:w="35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1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Layer 1 (Homepage)</w:t>
            </w:r>
          </w:p>
        </w:tc>
        <w:tc>
          <w:tcPr>
            <w:tcW w:type="dxa" w:w="21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Portal</w:t>
            </w:r>
          </w:p>
        </w:tc>
        <w:tc>
          <w:tcPr>
            <w:tcW w:type="dxa" w:w="16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IDX Property Search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Also in BuyerIQ™</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IDX Broker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Advanced Filters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Yes (inside search widget)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IDX Broker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Interactive Map Search (basic)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Enhanced version in BuyerIQ™</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IDX Broker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Map with overlays (schools, flood, commute)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BuyerIQ™</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Custom build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Mortgage Calculator (basic)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IDX Broker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Saved Searches &amp; Listing Alerts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BuyerIQ™</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IDX Broker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New Construction Search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NewBuildIQ™</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IDX Broker + Custom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MarketIQ™ Address Lookup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Yes (widget on homepage)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report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Custom build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TruMarket™ (valuation engine)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Snapshot only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Full in SellerIQ™</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Custom build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Net Proceeds Estimator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SellerIQ™</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Custom build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reLifeIQ™ Video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Below hero section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Phil on camera</w:t>
            </w:r>
          </w:p>
        </w:tc>
      </w:tr>
    </w:tbl>
    <w:p>
      <w:r>
        <w:br w:type="page"/>
      </w:r>
    </w:p>
    <w:p>
      <w:pPr>
        <w:pStyle w:val="Heading1"/>
        <w:spacing w:after="120" w:before="360"/>
      </w:pPr>
      <w:r>
        <w:rPr>
          <w:rFonts w:ascii="Arial" w:cs="Arial" w:eastAsia="Arial" w:hAnsi="Arial"/>
          <w:b/>
          <w:bCs/>
          <w:color w:val="1B3A5C"/>
          <w:sz w:val="36"/>
          <w:szCs w:val="36"/>
        </w:rPr>
        <w:t xml:space="preserve">3. BuyerIQ™ — The Buyer’s Edge Assessment</w:t>
      </w:r>
    </w:p>
    <w:p>
      <w:pPr>
        <w:pBdr>
          <w:bottom w:val="single" w:color="2089A0" w:sz="6" w:space="1"/>
        </w:pBdr>
        <w:spacing w:after="160" w:before="160"/>
      </w:pPr>
      <w:r>
        <w:t xml:space="preserve"/>
      </w:r>
    </w:p>
    <w:p>
      <w:pPr>
        <w:pStyle w:val="Heading2"/>
        <w:spacing w:after="100" w:before="280"/>
      </w:pPr>
      <w:r>
        <w:rPr>
          <w:rFonts w:ascii="Arial" w:cs="Arial" w:eastAsia="Arial" w:hAnsi="Arial"/>
          <w:b/>
          <w:bCs/>
          <w:color w:val="2089A0"/>
          <w:sz w:val="28"/>
          <w:szCs w:val="28"/>
        </w:rPr>
        <w:t xml:space="preserve">The Core Concept</w:t>
      </w:r>
    </w:p>
    <w:p>
      <w:pPr>
        <w:spacing w:after="80" w:before="80"/>
      </w:pPr>
      <w:r>
        <w:rPr>
          <w:rFonts w:ascii="Arial" w:cs="Arial" w:eastAsia="Arial" w:hAnsi="Arial"/>
          <w:color w:val="333333"/>
          <w:sz w:val="22"/>
          <w:szCs w:val="22"/>
        </w:rPr>
        <w:t xml:space="preserve">BuyerIQ™ is not a tool dashboard. It is a guided buyer consultation that transforms a casual browser into a strategic buyer. The portal IS the Buyer’s Edge assessment. The tools are embedded as checkpoints within the journey — they are not standalone features.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r>
              <w:rPr>
                <w:rFonts w:ascii="Arial" w:cs="Arial" w:eastAsia="Arial" w:hAnsi="Arial"/>
                <w:i/>
                <w:iCs/>
                <w:color w:val="333333"/>
                <w:sz w:val="22"/>
                <w:szCs w:val="22"/>
              </w:rPr>
              <w:t xml:space="preserve">"We are walking them through the questioning process. How does your next home fit your life? The tools appear when the answers need them." — Phil Himes</w:t>
            </w:r>
          </w:p>
        </w:tc>
      </w:tr>
    </w:tbl>
    <w:p>
      <w:pPr>
        <w:spacing w:after="120" w:before="120"/>
      </w:pPr>
      <w:r>
        <w:t xml:space="preserve"/>
      </w:r>
    </w:p>
    <w:p>
      <w:pPr>
        <w:pStyle w:val="Heading2"/>
        <w:spacing w:after="100" w:before="280"/>
      </w:pPr>
      <w:r>
        <w:rPr>
          <w:rFonts w:ascii="Arial" w:cs="Arial" w:eastAsia="Arial" w:hAnsi="Arial"/>
          <w:b/>
          <w:bCs/>
          <w:color w:val="2089A0"/>
          <w:sz w:val="28"/>
          <w:szCs w:val="28"/>
        </w:rPr>
        <w:t xml:space="preserve">The Journey Flow</w:t>
      </w:r>
    </w:p>
    <w:p>
      <w:pPr>
        <w:spacing w:after="80" w:before="80"/>
      </w:pPr>
      <w:r>
        <w:rPr>
          <w:rFonts w:ascii="Arial" w:cs="Arial" w:eastAsia="Arial" w:hAnsi="Arial"/>
          <w:color w:val="333333"/>
          <w:sz w:val="22"/>
          <w:szCs w:val="22"/>
        </w:rPr>
        <w:t xml:space="preserve">The assessment moves through five stages, each building on the last: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200"/>
        <w:gridCol w:w="2460"/>
      </w:tblGrid>
      <w:tr>
        <w:tc>
          <w:tcPr>
            <w:tcW w:type="dxa" w:w="1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Question Asked</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Tool Embedded</w:t>
            </w:r>
          </w:p>
        </w:tc>
        <w:tc>
          <w:tcPr>
            <w:tcW w:type="dxa" w:w="24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3A5C"/>
                <w:sz w:val="19"/>
                <w:szCs w:val="19"/>
              </w:rPr>
              <w:t xml:space="preserve">1 — Life Context</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i/>
                <w:iCs/>
                <w:color w:val="333333"/>
                <w:sz w:val="19"/>
                <w:szCs w:val="19"/>
              </w:rPr>
              <w:t xml:space="preserve">Work, church, kids’ activities — what anchors your life?</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19"/>
                <w:szCs w:val="19"/>
              </w:rPr>
              <w:t xml:space="preserve">Address input for each anchor point</w:t>
            </w:r>
          </w:p>
        </w:tc>
        <w:tc>
          <w:tcPr>
            <w:tcW w:type="dxa" w:w="24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i/>
                <w:iCs/>
                <w:color w:val="555555"/>
                <w:sz w:val="19"/>
                <w:szCs w:val="19"/>
              </w:rPr>
              <w:t xml:space="preserve">Custom build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2 — Location 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19"/>
                <w:szCs w:val="19"/>
              </w:rPr>
              <w:t xml:space="preserve">Which neighborhoods intersect your life?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Map overlay showing commute radii from all anchor points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Custom + Google Maps API</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3A5C"/>
                <w:sz w:val="19"/>
                <w:szCs w:val="19"/>
              </w:rPr>
              <w:t xml:space="preserve">3 — Neighborhood Evaluation</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i/>
                <w:iCs/>
                <w:color w:val="333333"/>
                <w:sz w:val="19"/>
                <w:szCs w:val="19"/>
              </w:rPr>
              <w:t xml:space="preserve">What matters in a neighborhood?</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19"/>
                <w:szCs w:val="19"/>
              </w:rPr>
              <w:t xml:space="preserve">Schools, price ranges, amenities, lifestyle data per neighborhood</w:t>
            </w:r>
          </w:p>
        </w:tc>
        <w:tc>
          <w:tcPr>
            <w:tcW w:type="dxa" w:w="24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i/>
                <w:iCs/>
                <w:color w:val="555555"/>
                <w:sz w:val="19"/>
                <w:szCs w:val="19"/>
              </w:rPr>
              <w:t xml:space="preserve">Custom + IDX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4 — Saved Search — OPT-IN GATE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19"/>
                <w:szCs w:val="19"/>
              </w:rPr>
              <w:t xml:space="preserve">Want us to alert you when homes match?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Saved search created from criteria — requires name, email, phone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IDX Broker + GHL</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3A5C"/>
                <w:sz w:val="19"/>
                <w:szCs w:val="19"/>
              </w:rPr>
              <w:t xml:space="preserve">5 — Property Decision</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i/>
                <w:iCs/>
                <w:color w:val="333333"/>
                <w:sz w:val="19"/>
                <w:szCs w:val="19"/>
              </w:rPr>
              <w:t xml:space="preserve">Found a house? Let’s evaluate it.</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19"/>
                <w:szCs w:val="19"/>
              </w:rPr>
              <w:t xml:space="preserve">Flood zone, exact school assignments, offer strategy via MarketIQ™</w:t>
            </w:r>
          </w:p>
        </w:tc>
        <w:tc>
          <w:tcPr>
            <w:tcW w:type="dxa" w:w="24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i/>
                <w:iCs/>
                <w:color w:val="555555"/>
                <w:sz w:val="19"/>
                <w:szCs w:val="19"/>
              </w:rPr>
              <w:t xml:space="preserve">Custom + MarketIQ™</w:t>
            </w:r>
          </w:p>
        </w:tc>
      </w:tr>
    </w:tbl>
    <w:p>
      <w:pPr>
        <w:spacing w:after="80" w:before="160"/>
      </w:pPr>
      <w:r>
        <w:t xml:space="preserve"/>
      </w:r>
    </w:p>
    <w:p>
      <w:pPr>
        <w:pStyle w:val="Heading2"/>
        <w:spacing w:after="100" w:before="280"/>
      </w:pPr>
      <w:r>
        <w:rPr>
          <w:rFonts w:ascii="Arial" w:cs="Arial" w:eastAsia="Arial" w:hAnsi="Arial"/>
          <w:b/>
          <w:bCs/>
          <w:color w:val="2089A0"/>
          <w:sz w:val="28"/>
          <w:szCs w:val="28"/>
        </w:rPr>
        <w:t xml:space="preserve">The Opt-In Strategy</w:t>
      </w:r>
    </w:p>
    <w:p>
      <w:pPr>
        <w:spacing w:after="80" w:before="80"/>
      </w:pPr>
      <w:r>
        <w:rPr>
          <w:rFonts w:ascii="Arial" w:cs="Arial" w:eastAsia="Arial" w:hAnsi="Arial"/>
          <w:color w:val="333333"/>
          <w:sz w:val="22"/>
          <w:szCs w:val="22"/>
        </w:rPr>
        <w:t xml:space="preserve">The opt-in gate lives at Stage 4 — the saved search step. By this point the visitor has invested significant time building their criteria. Saving it feels like a feature, not a toll. The value exchange is clear: give us your contact info, we’ll alert you when the right home appears.</w:t>
      </w:r>
    </w:p>
    <w:p>
      <w:pPr>
        <w:spacing w:after="80" w:before="80"/>
      </w:pPr>
      <w:r>
        <w:t xml:space="preserve"/>
      </w:r>
    </w:p>
    <w:p>
      <w:pPr>
        <w:spacing w:after="80" w:before="80"/>
      </w:pPr>
      <w:r>
        <w:rPr>
          <w:rFonts w:ascii="Arial" w:cs="Arial" w:eastAsia="Arial" w:hAnsi="Arial"/>
          <w:color w:val="333333"/>
          <w:sz w:val="22"/>
          <w:szCs w:val="22"/>
        </w:rPr>
        <w:t xml:space="preserve">What gets captured at opt-in and flows directly into GHL:</w:t>
      </w:r>
    </w:p>
    <w:p>
      <w:pPr>
        <w:pStyle w:val="ListParagraph"/>
        <w:numPr>
          <w:ilvl w:val="0"/>
          <w:numId w:val="2"/>
        </w:numPr>
        <w:spacing w:after="40" w:before="40"/>
      </w:pPr>
      <w:r>
        <w:rPr>
          <w:rFonts w:ascii="Arial" w:cs="Arial" w:eastAsia="Arial" w:hAnsi="Arial"/>
          <w:color w:val="333333"/>
          <w:sz w:val="21"/>
          <w:szCs w:val="21"/>
        </w:rPr>
        <w:t xml:space="preserve">Name, email, phone</w:t>
      </w:r>
    </w:p>
    <w:p>
      <w:pPr>
        <w:pStyle w:val="ListParagraph"/>
        <w:numPr>
          <w:ilvl w:val="0"/>
          <w:numId w:val="2"/>
        </w:numPr>
        <w:spacing w:after="40" w:before="40"/>
      </w:pPr>
      <w:r>
        <w:rPr>
          <w:rFonts w:ascii="Arial" w:cs="Arial" w:eastAsia="Arial" w:hAnsi="Arial"/>
          <w:color w:val="333333"/>
          <w:sz w:val="21"/>
          <w:szCs w:val="21"/>
        </w:rPr>
        <w:t xml:space="preserve">Work address and commute tolerance</w:t>
      </w:r>
    </w:p>
    <w:p>
      <w:pPr>
        <w:pStyle w:val="ListParagraph"/>
        <w:numPr>
          <w:ilvl w:val="0"/>
          <w:numId w:val="2"/>
        </w:numPr>
        <w:spacing w:after="40" w:before="40"/>
      </w:pPr>
      <w:r>
        <w:rPr>
          <w:rFonts w:ascii="Arial" w:cs="Arial" w:eastAsia="Arial" w:hAnsi="Arial"/>
          <w:color w:val="333333"/>
          <w:sz w:val="21"/>
          <w:szCs w:val="21"/>
        </w:rPr>
        <w:t xml:space="preserve">Other life anchors (church, activities, etc.)</w:t>
      </w:r>
    </w:p>
    <w:p>
      <w:pPr>
        <w:pStyle w:val="ListParagraph"/>
        <w:numPr>
          <w:ilvl w:val="0"/>
          <w:numId w:val="2"/>
        </w:numPr>
        <w:spacing w:after="40" w:before="40"/>
      </w:pPr>
      <w:r>
        <w:rPr>
          <w:rFonts w:ascii="Arial" w:cs="Arial" w:eastAsia="Arial" w:hAnsi="Arial"/>
          <w:color w:val="333333"/>
          <w:sz w:val="21"/>
          <w:szCs w:val="21"/>
        </w:rPr>
        <w:t xml:space="preserve">Target neighborhoods identified during journey</w:t>
      </w:r>
    </w:p>
    <w:p>
      <w:pPr>
        <w:pStyle w:val="ListParagraph"/>
        <w:numPr>
          <w:ilvl w:val="0"/>
          <w:numId w:val="2"/>
        </w:numPr>
        <w:spacing w:after="40" w:before="40"/>
      </w:pPr>
      <w:r>
        <w:rPr>
          <w:rFonts w:ascii="Arial" w:cs="Arial" w:eastAsia="Arial" w:hAnsi="Arial"/>
          <w:color w:val="333333"/>
          <w:sz w:val="21"/>
          <w:szCs w:val="21"/>
        </w:rPr>
        <w:t xml:space="preserve">Price range</w:t>
      </w:r>
    </w:p>
    <w:p>
      <w:pPr>
        <w:pStyle w:val="ListParagraph"/>
        <w:numPr>
          <w:ilvl w:val="0"/>
          <w:numId w:val="2"/>
        </w:numPr>
        <w:spacing w:after="40" w:before="40"/>
      </w:pPr>
      <w:r>
        <w:rPr>
          <w:rFonts w:ascii="Arial" w:cs="Arial" w:eastAsia="Arial" w:hAnsi="Arial"/>
          <w:color w:val="333333"/>
          <w:sz w:val="21"/>
          <w:szCs w:val="21"/>
        </w:rPr>
        <w:t xml:space="preserve">Timeline</w:t>
      </w:r>
    </w:p>
    <w:p>
      <w:pPr>
        <w:pStyle w:val="ListParagraph"/>
        <w:numPr>
          <w:ilvl w:val="0"/>
          <w:numId w:val="2"/>
        </w:numPr>
        <w:spacing w:after="40" w:before="40"/>
      </w:pPr>
      <w:r>
        <w:rPr>
          <w:rFonts w:ascii="Arial" w:cs="Arial" w:eastAsia="Arial" w:hAnsi="Arial"/>
          <w:color w:val="333333"/>
          <w:sz w:val="21"/>
          <w:szCs w:val="21"/>
        </w:rPr>
        <w:t xml:space="preserve">School priorities</w:t>
      </w:r>
    </w:p>
    <w:p>
      <w:pPr>
        <w:spacing w:after="120" w:before="120"/>
      </w:pPr>
      <w:r>
        <w:t xml:space="preserve"/>
      </w:r>
    </w:p>
    <w:p>
      <w:pPr>
        <w:pStyle w:val="Heading2"/>
        <w:spacing w:after="100" w:before="280"/>
      </w:pPr>
      <w:r>
        <w:rPr>
          <w:rFonts w:ascii="Arial" w:cs="Arial" w:eastAsia="Arial" w:hAnsi="Arial"/>
          <w:b/>
          <w:bCs/>
          <w:color w:val="2089A0"/>
          <w:sz w:val="28"/>
          <w:szCs w:val="28"/>
        </w:rPr>
        <w:t xml:space="preserve">The Deliverable — Buyer’s Edge Report</w:t>
      </w:r>
    </w:p>
    <w:p>
      <w:pPr>
        <w:spacing w:after="80" w:before="80"/>
      </w:pPr>
      <w:r>
        <w:rPr>
          <w:rFonts w:ascii="Arial" w:cs="Arial" w:eastAsia="Arial" w:hAnsi="Arial"/>
          <w:color w:val="333333"/>
          <w:sz w:val="22"/>
          <w:szCs w:val="22"/>
        </w:rPr>
        <w:t xml:space="preserve">At the end of the assessment, the visitor receives a personalized Buyer’s Edge Report via email. This is not a generic guide — it is built from their specific answers. It includes their identified neighborhoods, school ratings, current market stats, price range analysis, and a clear next step with Phil.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r>
              <w:rPr>
                <w:rFonts w:ascii="Arial" w:cs="Arial" w:eastAsia="Arial" w:hAnsi="Arial"/>
                <w:i/>
                <w:iCs/>
                <w:color w:val="333333"/>
                <w:sz w:val="22"/>
                <w:szCs w:val="22"/>
              </w:rPr>
              <w:t xml:space="preserve">Phase 1: HTML email report (fast to build, looks great, works on current stack). Phase 2: Downloadable PDF version of the same report with full branding.</w:t>
            </w:r>
          </w:p>
        </w:tc>
      </w:tr>
    </w:tbl>
    <w:p>
      <w:pPr>
        <w:pStyle w:val="Heading2"/>
        <w:spacing w:after="100" w:before="280"/>
      </w:pPr>
      <w:r>
        <w:rPr>
          <w:rFonts w:ascii="Arial" w:cs="Arial" w:eastAsia="Arial" w:hAnsi="Arial"/>
          <w:b/>
          <w:bCs/>
          <w:color w:val="2089A0"/>
          <w:sz w:val="28"/>
          <w:szCs w:val="28"/>
        </w:rPr>
        <w:t xml:space="preserve">The Returning Visitor Experience</w:t>
      </w:r>
    </w:p>
    <w:p>
      <w:pPr>
        <w:spacing w:after="80" w:before="80"/>
      </w:pPr>
      <w:r>
        <w:rPr>
          <w:rFonts w:ascii="Arial" w:cs="Arial" w:eastAsia="Arial" w:hAnsi="Arial"/>
          <w:color w:val="333333"/>
          <w:sz w:val="22"/>
          <w:szCs w:val="22"/>
        </w:rPr>
        <w:t xml:space="preserve">Visitors who have completed the assessment return to a lightweight dashboard: their saved search, new matches since last visit, and a link to their report. This is not a second portal — it is a thin layer on top of the same experience.</w:t>
      </w:r>
    </w:p>
    <w:p>
      <w:r>
        <w:br w:type="page"/>
      </w:r>
    </w:p>
    <w:p>
      <w:pPr>
        <w:pStyle w:val="Heading1"/>
        <w:spacing w:after="120" w:before="360"/>
      </w:pPr>
      <w:r>
        <w:rPr>
          <w:rFonts w:ascii="Arial" w:cs="Arial" w:eastAsia="Arial" w:hAnsi="Arial"/>
          <w:b/>
          <w:bCs/>
          <w:color w:val="1B3A5C"/>
          <w:sz w:val="36"/>
          <w:szCs w:val="36"/>
        </w:rPr>
        <w:t xml:space="preserve">4. SellerIQ™ — The Seller’s Edge Assessment</w:t>
      </w:r>
    </w:p>
    <w:p>
      <w:pPr>
        <w:pBdr>
          <w:bottom w:val="single" w:color="2089A0" w:sz="6" w:space="1"/>
        </w:pBdr>
        <w:spacing w:after="160" w:before="160"/>
      </w:pPr>
      <w:r>
        <w:t xml:space="preserve"/>
      </w:r>
    </w:p>
    <w:p>
      <w:pPr>
        <w:pStyle w:val="Heading2"/>
        <w:spacing w:after="100" w:before="280"/>
      </w:pPr>
      <w:r>
        <w:rPr>
          <w:rFonts w:ascii="Arial" w:cs="Arial" w:eastAsia="Arial" w:hAnsi="Arial"/>
          <w:b/>
          <w:bCs/>
          <w:color w:val="2089A0"/>
          <w:sz w:val="28"/>
          <w:szCs w:val="28"/>
        </w:rPr>
        <w:t xml:space="preserve">The Core Concept</w:t>
      </w:r>
    </w:p>
    <w:p>
      <w:pPr>
        <w:spacing w:after="80" w:before="80"/>
      </w:pPr>
      <w:r>
        <w:rPr>
          <w:rFonts w:ascii="Arial" w:cs="Arial" w:eastAsia="Arial" w:hAnsi="Arial"/>
          <w:color w:val="333333"/>
          <w:sz w:val="22"/>
          <w:szCs w:val="22"/>
        </w:rPr>
        <w:t xml:space="preserve">SellerIQ™ mirrors BuyerIQ™ in architecture. The portal IS the Seller’s Edge assessment — a guided strategic consultation that walks a seller from “I’m thinking about it” to “I know my number, my position, and my next move.”</w:t>
      </w:r>
    </w:p>
    <w:p>
      <w:pPr>
        <w:spacing w:after="80" w:before="80"/>
      </w:pPr>
      <w:r>
        <w:t xml:space="preserve"/>
      </w:r>
    </w:p>
    <w:p>
      <w:pPr>
        <w:pStyle w:val="Heading2"/>
        <w:spacing w:after="100" w:before="280"/>
      </w:pPr>
      <w:r>
        <w:rPr>
          <w:rFonts w:ascii="Arial" w:cs="Arial" w:eastAsia="Arial" w:hAnsi="Arial"/>
          <w:b/>
          <w:bCs/>
          <w:color w:val="2089A0"/>
          <w:sz w:val="28"/>
          <w:szCs w:val="28"/>
        </w:rPr>
        <w:t xml:space="preserve">The Life Event Routing — The Critical First Question</w:t>
      </w:r>
    </w:p>
    <w:p>
      <w:pPr>
        <w:spacing w:after="80" w:before="80"/>
      </w:pPr>
      <w:r>
        <w:rPr>
          <w:rFonts w:ascii="Arial" w:cs="Arial" w:eastAsia="Arial" w:hAnsi="Arial"/>
          <w:color w:val="333333"/>
          <w:sz w:val="22"/>
          <w:szCs w:val="22"/>
        </w:rPr>
        <w:t xml:space="preserve">The first question of the Seller’s Edge assessment is: “Why are you considering selling?” The answer routes the entire experience and all downstream automation.</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Answer</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Routes To</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Caitlyn Delivers</w:t>
            </w:r>
          </w:p>
        </w:tc>
        <w:tc>
          <w:tcPr>
            <w:tcW w:type="dxa" w:w="19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GHL Sequence</w:t>
            </w:r>
          </w:p>
        </w:tc>
      </w:tr>
      <w:tr>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i/>
                <w:iCs/>
                <w:color w:val="333333"/>
                <w:sz w:val="19"/>
                <w:szCs w:val="19"/>
              </w:rPr>
              <w:t xml:space="preserve">Kids left / downsizing / empty nester</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B3A5C"/>
                <w:sz w:val="19"/>
                <w:szCs w:val="19"/>
              </w:rPr>
              <w:t xml:space="preserve">Rebalance™ path</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Rebalance™ video from Phil</w:t>
            </w:r>
          </w:p>
        </w:tc>
        <w:tc>
          <w:tcPr>
            <w:tcW w:type="dxa" w:w="1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Downsizer sequence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19"/>
                <w:szCs w:val="19"/>
              </w:rPr>
              <w:t xml:space="preserve">Sitting on equity / exploring options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Amplify™ 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Amplify™ video from Phil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Equity sequence</w:t>
            </w:r>
          </w:p>
        </w:tc>
      </w:tr>
      <w:tr>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i/>
                <w:iCs/>
                <w:color w:val="333333"/>
                <w:sz w:val="19"/>
                <w:szCs w:val="19"/>
              </w:rPr>
              <w:t xml:space="preserve">Life transition / divorce</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B3A5C"/>
                <w:sz w:val="19"/>
                <w:szCs w:val="19"/>
              </w:rPr>
              <w:t xml:space="preserve">Renew™ path</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Renew™ video from Phil</w:t>
            </w:r>
          </w:p>
        </w:tc>
        <w:tc>
          <w:tcPr>
            <w:tcW w:type="dxa" w:w="1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Transition sequence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19"/>
                <w:szCs w:val="19"/>
              </w:rPr>
              <w:t xml:space="preserve">Ready to sell / general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Standard SellerIQ™ 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General next-steps video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Seller sequence</w:t>
            </w:r>
          </w:p>
        </w:tc>
      </w:tr>
    </w:tbl>
    <w:p>
      <w:pPr>
        <w:spacing w:after="80" w:before="160"/>
      </w:pPr>
      <w:r>
        <w:t xml:space="preserve"/>
      </w:r>
    </w:p>
    <w:p>
      <w:pPr>
        <w:pStyle w:val="Heading2"/>
        <w:spacing w:after="100" w:before="280"/>
      </w:pPr>
      <w:r>
        <w:rPr>
          <w:rFonts w:ascii="Arial" w:cs="Arial" w:eastAsia="Arial" w:hAnsi="Arial"/>
          <w:b/>
          <w:bCs/>
          <w:color w:val="2089A0"/>
          <w:sz w:val="28"/>
          <w:szCs w:val="28"/>
        </w:rPr>
        <w:t xml:space="preserve">The Seller’s Edge Report</w:t>
      </w:r>
    </w:p>
    <w:p>
      <w:pPr>
        <w:spacing w:after="80" w:before="80"/>
      </w:pPr>
      <w:r>
        <w:rPr>
          <w:rFonts w:ascii="Arial" w:cs="Arial" w:eastAsia="Arial" w:hAnsi="Arial"/>
          <w:color w:val="333333"/>
          <w:sz w:val="22"/>
          <w:szCs w:val="22"/>
        </w:rPr>
        <w:t xml:space="preserve">The report generated at the end of the assessment is the most tangible deliverable on the site. It includes: estimated home value range (TruMarket™), what the seller actually walks away with (net proceeds after commission, closing costs, and mortgage payoff), market conditions in their neighborhood, timing recommendation, and pricing strategy (speed vs. max price vs. certainty).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r>
              <w:rPr>
                <w:rFonts w:ascii="Arial" w:cs="Arial" w:eastAsia="Arial" w:hAnsi="Arial"/>
                <w:i/>
                <w:iCs/>
                <w:color w:val="333333"/>
                <w:sz w:val="22"/>
                <w:szCs w:val="22"/>
              </w:rPr>
              <w:t xml:space="preserve">This is a report someone prints out and puts on their kitchen counter. It turns an anonymous visitor into an informed seller who feels like Phil already knows their situation.</w:t>
            </w:r>
          </w:p>
        </w:tc>
      </w:tr>
    </w:tbl>
    <w:p>
      <w:pPr>
        <w:pStyle w:val="Heading2"/>
        <w:spacing w:after="100" w:before="280"/>
      </w:pPr>
      <w:r>
        <w:rPr>
          <w:rFonts w:ascii="Arial" w:cs="Arial" w:eastAsia="Arial" w:hAnsi="Arial"/>
          <w:b/>
          <w:bCs/>
          <w:color w:val="2089A0"/>
          <w:sz w:val="28"/>
          <w:szCs w:val="28"/>
        </w:rPr>
        <w:t xml:space="preserve">The reLifeIQ™ Connection — Caitlyn Delivers the Next Level</w:t>
      </w:r>
    </w:p>
    <w:p>
      <w:pPr>
        <w:spacing w:after="80" w:before="80"/>
      </w:pPr>
      <w:r>
        <w:rPr>
          <w:rFonts w:ascii="Arial" w:cs="Arial" w:eastAsia="Arial" w:hAnsi="Arial"/>
          <w:color w:val="333333"/>
          <w:sz w:val="22"/>
          <w:szCs w:val="22"/>
        </w:rPr>
        <w:t xml:space="preserve">After the seller completes the journey and receives their report, the reLifeIQ™ suite is NOT presented during the assessment — that would muddy the journey. Instead, Caitlyn delivers a short Phil-on-camera video after completion, introducing the specific tool that matches their life event answer. Phil only needs to record 3–4 videos of 60–90 seconds each. GHL routes the right video automatically based on the life event field captured during the assessment.</w:t>
      </w:r>
    </w:p>
    <w:p>
      <w:r>
        <w:br w:type="page"/>
      </w:r>
    </w:p>
    <w:p>
      <w:pPr>
        <w:pStyle w:val="Heading1"/>
        <w:spacing w:after="120" w:before="360"/>
      </w:pPr>
      <w:r>
        <w:rPr>
          <w:rFonts w:ascii="Arial" w:cs="Arial" w:eastAsia="Arial" w:hAnsi="Arial"/>
          <w:b/>
          <w:bCs/>
          <w:color w:val="1B3A5C"/>
          <w:sz w:val="36"/>
          <w:szCs w:val="36"/>
        </w:rPr>
        <w:t xml:space="preserve">5. MarketIQ™ — Address Intelligence Tool</w:t>
      </w:r>
    </w:p>
    <w:p>
      <w:pPr>
        <w:pBdr>
          <w:bottom w:val="single" w:color="2089A0" w:sz="6" w:space="1"/>
        </w:pBdr>
        <w:spacing w:after="160" w:before="160"/>
      </w:pPr>
      <w:r>
        <w:t xml:space="preserve"/>
      </w:r>
    </w:p>
    <w:p>
      <w:pPr>
        <w:pStyle w:val="Heading2"/>
        <w:spacing w:after="100" w:before="280"/>
      </w:pPr>
      <w:r>
        <w:rPr>
          <w:rFonts w:ascii="Arial" w:cs="Arial" w:eastAsia="Arial" w:hAnsi="Arial"/>
          <w:b/>
          <w:bCs/>
          <w:color w:val="2089A0"/>
          <w:sz w:val="28"/>
          <w:szCs w:val="28"/>
        </w:rPr>
        <w:t xml:space="preserve">The Core Concept</w:t>
      </w:r>
    </w:p>
    <w:p>
      <w:pPr>
        <w:spacing w:after="80" w:before="80"/>
      </w:pPr>
      <w:r>
        <w:rPr>
          <w:rFonts w:ascii="Arial" w:cs="Arial" w:eastAsia="Arial" w:hAnsi="Arial"/>
          <w:color w:val="333333"/>
          <w:sz w:val="22"/>
          <w:szCs w:val="22"/>
        </w:rPr>
        <w:t xml:space="preserve">MarketIQ™ is not a portal to navigate. It is a decision tool. You type in an address and it returns everything needed to make a decision on that specific property — whether you are a buyer considering an offer or a seller understanding your 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60"/>
              <w:left w:type="dxa" w:w="240"/>
              <w:bottom w:type="dxa" w:w="160"/>
              <w:right w:type="dxa" w:w="240"/>
            </w:tcMar>
          </w:tcPr>
          <w:p>
            <w:r>
              <w:rPr>
                <w:rFonts w:ascii="Arial" w:cs="Arial" w:eastAsia="Arial" w:hAnsi="Arial"/>
                <w:i/>
                <w:iCs/>
                <w:color w:val="333333"/>
                <w:sz w:val="22"/>
                <w:szCs w:val="22"/>
              </w:rPr>
              <w:t xml:space="preserve">MarketIQ™ is the tool people come back to repeatedly. Every address they are curious about — they run it through MarketIQ™. Every return visit, if they are opted in, feeds GHL. Caitlyn knows exactly which properties they are researching without them saying a word.</w:t>
            </w:r>
          </w:p>
        </w:tc>
      </w:tr>
    </w:tbl>
    <w:p>
      <w:pPr>
        <w:spacing w:after="80" w:before="120"/>
      </w:pPr>
      <w:r>
        <w:t xml:space="preserve"/>
      </w:r>
    </w:p>
    <w:p>
      <w:pPr>
        <w:pStyle w:val="Heading2"/>
        <w:spacing w:after="100" w:before="280"/>
      </w:pPr>
      <w:r>
        <w:rPr>
          <w:rFonts w:ascii="Arial" w:cs="Arial" w:eastAsia="Arial" w:hAnsi="Arial"/>
          <w:b/>
          <w:bCs/>
          <w:color w:val="2089A0"/>
          <w:sz w:val="28"/>
          <w:szCs w:val="28"/>
        </w:rPr>
        <w:t xml:space="preserve">What Pulls on Address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For a Buyer</w:t>
            </w:r>
          </w:p>
        </w:tc>
        <w:tc>
          <w:tcPr>
            <w:tcW w:type="dxa" w:w="46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For a Seller</w:t>
            </w:r>
          </w:p>
        </w:tc>
      </w:tr>
      <w:tr>
        <w:tc>
          <w:tcPr>
            <w:tcW w:type="dxa" w:w="4680"/>
            <w:tcBorders>
              <w:top w:val="single" w:color="CCCCCC" w:sz="1"/>
              <w:left w:val="single" w:color="CCCCCC" w:sz="1"/>
              <w:bottom w:val="single" w:color="CCCCCC" w:sz="1"/>
              <w:right w:val="single" w:color="CCCCCC" w:sz="1"/>
            </w:tcBorders>
            <w:shd w:fill="E8F4F8" w:val="clear"/>
            <w:tcMar>
              <w:top w:type="dxa" w:w="120"/>
              <w:left w:type="dxa" w:w="160"/>
              <w:bottom w:type="dxa" w:w="120"/>
              <w:right w:type="dxa" w:w="160"/>
            </w:tcMar>
          </w:tcPr>
          <w:p>
            <w:pPr>
              <w:pStyle w:val="ListParagraph"/>
              <w:numPr>
                <w:ilvl w:val="0"/>
                <w:numId w:val="2"/>
              </w:numPr>
              <w:spacing w:after="40" w:before="40"/>
            </w:pPr>
            <w:r>
              <w:rPr>
                <w:rFonts w:ascii="Arial" w:cs="Arial" w:eastAsia="Arial" w:hAnsi="Arial"/>
                <w:color w:val="333333"/>
                <w:sz w:val="19"/>
                <w:szCs w:val="19"/>
              </w:rPr>
              <w:t xml:space="preserve">Estimated value range (TruMarket™ engine)</w:t>
            </w:r>
          </w:p>
          <w:p>
            <w:pPr>
              <w:pStyle w:val="ListParagraph"/>
              <w:numPr>
                <w:ilvl w:val="0"/>
                <w:numId w:val="2"/>
              </w:numPr>
              <w:spacing w:after="40" w:before="40"/>
            </w:pPr>
            <w:r>
              <w:rPr>
                <w:rFonts w:ascii="Arial" w:cs="Arial" w:eastAsia="Arial" w:hAnsi="Arial"/>
                <w:color w:val="333333"/>
                <w:sz w:val="19"/>
                <w:szCs w:val="19"/>
              </w:rPr>
              <w:t xml:space="preserve">List price vs. what homes actually sell for</w:t>
            </w:r>
          </w:p>
          <w:p>
            <w:pPr>
              <w:pStyle w:val="ListParagraph"/>
              <w:numPr>
                <w:ilvl w:val="0"/>
                <w:numId w:val="2"/>
              </w:numPr>
              <w:spacing w:after="40" w:before="40"/>
            </w:pPr>
            <w:r>
              <w:rPr>
                <w:rFonts w:ascii="Arial" w:cs="Arial" w:eastAsia="Arial" w:hAnsi="Arial"/>
                <w:color w:val="333333"/>
                <w:sz w:val="19"/>
                <w:szCs w:val="19"/>
              </w:rPr>
              <w:t xml:space="preserve">Days on market + price reduction history</w:t>
            </w:r>
          </w:p>
          <w:p>
            <w:pPr>
              <w:pStyle w:val="ListParagraph"/>
              <w:numPr>
                <w:ilvl w:val="0"/>
                <w:numId w:val="2"/>
              </w:numPr>
              <w:spacing w:after="40" w:before="40"/>
            </w:pPr>
            <w:r>
              <w:rPr>
                <w:rFonts w:ascii="Arial" w:cs="Arial" w:eastAsia="Arial" w:hAnsi="Arial"/>
                <w:color w:val="333333"/>
                <w:sz w:val="19"/>
                <w:szCs w:val="19"/>
              </w:rPr>
              <w:t xml:space="preserve">Comparable sold properties nearby</w:t>
            </w:r>
          </w:p>
          <w:p>
            <w:pPr>
              <w:pStyle w:val="ListParagraph"/>
              <w:numPr>
                <w:ilvl w:val="0"/>
                <w:numId w:val="2"/>
              </w:numPr>
              <w:spacing w:after="40" w:before="40"/>
            </w:pPr>
            <w:r>
              <w:rPr>
                <w:rFonts w:ascii="Arial" w:cs="Arial" w:eastAsia="Arial" w:hAnsi="Arial"/>
                <w:color w:val="333333"/>
                <w:sz w:val="19"/>
                <w:szCs w:val="19"/>
              </w:rPr>
              <w:t xml:space="preserve">Flood zone status</w:t>
            </w:r>
          </w:p>
          <w:p>
            <w:pPr>
              <w:pStyle w:val="ListParagraph"/>
              <w:numPr>
                <w:ilvl w:val="0"/>
                <w:numId w:val="2"/>
              </w:numPr>
              <w:spacing w:after="40" w:before="40"/>
            </w:pPr>
            <w:r>
              <w:rPr>
                <w:rFonts w:ascii="Arial" w:cs="Arial" w:eastAsia="Arial" w:hAnsi="Arial"/>
                <w:color w:val="333333"/>
                <w:sz w:val="19"/>
                <w:szCs w:val="19"/>
              </w:rPr>
              <w:t xml:space="preserve">Exact school assignments (not just district)</w:t>
            </w:r>
          </w:p>
          <w:p>
            <w:pPr>
              <w:pStyle w:val="ListParagraph"/>
              <w:numPr>
                <w:ilvl w:val="0"/>
                <w:numId w:val="2"/>
              </w:numPr>
              <w:spacing w:after="40" w:before="40"/>
            </w:pPr>
            <w:r>
              <w:rPr>
                <w:rFonts w:ascii="Arial" w:cs="Arial" w:eastAsia="Arial" w:hAnsi="Arial"/>
                <w:color w:val="333333"/>
                <w:sz w:val="19"/>
                <w:szCs w:val="19"/>
              </w:rPr>
              <w:t xml:space="preserve">Property tax estimate</w:t>
            </w:r>
          </w:p>
          <w:p>
            <w:pPr>
              <w:pStyle w:val="ListParagraph"/>
              <w:numPr>
                <w:ilvl w:val="0"/>
                <w:numId w:val="2"/>
              </w:numPr>
              <w:spacing w:after="40" w:before="40"/>
            </w:pPr>
            <w:r>
              <w:rPr>
                <w:rFonts w:ascii="Arial" w:cs="Arial" w:eastAsia="Arial" w:hAnsi="Arial"/>
                <w:color w:val="333333"/>
                <w:sz w:val="19"/>
                <w:szCs w:val="19"/>
              </w:rPr>
              <w:t xml:space="preserve">Offer strategy based on market velocity</w:t>
            </w:r>
          </w:p>
        </w:tc>
        <w:tc>
          <w:tcPr>
            <w:tcW w:type="dxa" w:w="468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tcPr>
          <w:p>
            <w:pPr>
              <w:pStyle w:val="ListParagraph"/>
              <w:numPr>
                <w:ilvl w:val="0"/>
                <w:numId w:val="2"/>
              </w:numPr>
              <w:spacing w:after="40" w:before="40"/>
            </w:pPr>
            <w:r>
              <w:rPr>
                <w:rFonts w:ascii="Arial" w:cs="Arial" w:eastAsia="Arial" w:hAnsi="Arial"/>
                <w:color w:val="333333"/>
                <w:sz w:val="19"/>
                <w:szCs w:val="19"/>
              </w:rPr>
              <w:t xml:space="preserve">Estimated value range (TruMarket™ engine)</w:t>
            </w:r>
          </w:p>
          <w:p>
            <w:pPr>
              <w:pStyle w:val="ListParagraph"/>
              <w:numPr>
                <w:ilvl w:val="0"/>
                <w:numId w:val="2"/>
              </w:numPr>
              <w:spacing w:after="40" w:before="40"/>
            </w:pPr>
            <w:r>
              <w:rPr>
                <w:rFonts w:ascii="Arial" w:cs="Arial" w:eastAsia="Arial" w:hAnsi="Arial"/>
                <w:color w:val="333333"/>
                <w:sz w:val="19"/>
                <w:szCs w:val="19"/>
              </w:rPr>
              <w:t xml:space="preserve">Active competition — what else is listed nearby</w:t>
            </w:r>
          </w:p>
          <w:p>
            <w:pPr>
              <w:pStyle w:val="ListParagraph"/>
              <w:numPr>
                <w:ilvl w:val="0"/>
                <w:numId w:val="2"/>
              </w:numPr>
              <w:spacing w:after="40" w:before="40"/>
            </w:pPr>
            <w:r>
              <w:rPr>
                <w:rFonts w:ascii="Arial" w:cs="Arial" w:eastAsia="Arial" w:hAnsi="Arial"/>
                <w:color w:val="333333"/>
                <w:sz w:val="19"/>
                <w:szCs w:val="19"/>
              </w:rPr>
              <w:t xml:space="preserve">Recent sold comparables</w:t>
            </w:r>
          </w:p>
          <w:p>
            <w:pPr>
              <w:pStyle w:val="ListParagraph"/>
              <w:numPr>
                <w:ilvl w:val="0"/>
                <w:numId w:val="2"/>
              </w:numPr>
              <w:spacing w:after="40" w:before="40"/>
            </w:pPr>
            <w:r>
              <w:rPr>
                <w:rFonts w:ascii="Arial" w:cs="Arial" w:eastAsia="Arial" w:hAnsi="Arial"/>
                <w:color w:val="333333"/>
                <w:sz w:val="19"/>
                <w:szCs w:val="19"/>
              </w:rPr>
              <w:t xml:space="preserve">Average days on market for similar homes</w:t>
            </w:r>
          </w:p>
          <w:p>
            <w:pPr>
              <w:pStyle w:val="ListParagraph"/>
              <w:numPr>
                <w:ilvl w:val="0"/>
                <w:numId w:val="2"/>
              </w:numPr>
              <w:spacing w:after="40" w:before="40"/>
            </w:pPr>
            <w:r>
              <w:rPr>
                <w:rFonts w:ascii="Arial" w:cs="Arial" w:eastAsia="Arial" w:hAnsi="Arial"/>
                <w:color w:val="333333"/>
                <w:sz w:val="19"/>
                <w:szCs w:val="19"/>
              </w:rPr>
              <w:t xml:space="preserve">Net proceeds estimate</w:t>
            </w:r>
          </w:p>
          <w:p>
            <w:pPr>
              <w:pStyle w:val="ListParagraph"/>
              <w:numPr>
                <w:ilvl w:val="0"/>
                <w:numId w:val="2"/>
              </w:numPr>
              <w:spacing w:after="40" w:before="40"/>
            </w:pPr>
            <w:r>
              <w:rPr>
                <w:rFonts w:ascii="Arial" w:cs="Arial" w:eastAsia="Arial" w:hAnsi="Arial"/>
                <w:color w:val="333333"/>
                <w:sz w:val="19"/>
                <w:szCs w:val="19"/>
              </w:rPr>
              <w:t xml:space="preserve">Pricing strategy recommendation</w:t>
            </w:r>
          </w:p>
        </w:tc>
      </w:tr>
    </w:tbl>
    <w:p>
      <w:pPr>
        <w:spacing w:after="80" w:before="160"/>
      </w:pPr>
      <w:r>
        <w:t xml:space="preserve"/>
      </w:r>
    </w:p>
    <w:p>
      <w:pPr>
        <w:pStyle w:val="Heading2"/>
        <w:spacing w:after="100" w:before="280"/>
      </w:pPr>
      <w:r>
        <w:rPr>
          <w:rFonts w:ascii="Arial" w:cs="Arial" w:eastAsia="Arial" w:hAnsi="Arial"/>
          <w:b/>
          <w:bCs/>
          <w:color w:val="2089A0"/>
          <w:sz w:val="28"/>
          <w:szCs w:val="28"/>
        </w:rPr>
        <w:t xml:space="preserve">TruMarket™ Relationship</w:t>
      </w:r>
    </w:p>
    <w:p>
      <w:pPr>
        <w:spacing w:after="80" w:before="80"/>
      </w:pPr>
      <w:r>
        <w:rPr>
          <w:rFonts w:ascii="Arial" w:cs="Arial" w:eastAsia="Arial" w:hAnsi="Arial"/>
          <w:color w:val="333333"/>
          <w:sz w:val="22"/>
          <w:szCs w:val="22"/>
        </w:rPr>
        <w:t xml:space="preserve">TruMarket™ is the valuation engine inside MarketIQ™, not a standalone tool. When MarketIQ™ returns a value range, TruMarket™ is doing the work under the hood. The methodology — value range instead of a single number, positioning analysis, pricing purpose conversation — is preserved. The branding is embedded.</w:t>
      </w:r>
    </w:p>
    <w:p>
      <w:pPr>
        <w:pStyle w:val="Heading2"/>
        <w:spacing w:after="100" w:before="280"/>
      </w:pPr>
      <w:r>
        <w:rPr>
          <w:rFonts w:ascii="Arial" w:cs="Arial" w:eastAsia="Arial" w:hAnsi="Arial"/>
          <w:b/>
          <w:bCs/>
          <w:color w:val="2089A0"/>
          <w:sz w:val="28"/>
          <w:szCs w:val="28"/>
        </w:rPr>
        <w:t xml:space="preserve">Placement</w:t>
      </w:r>
    </w:p>
    <w:p>
      <w:pPr>
        <w:spacing w:after="80" w:before="80"/>
      </w:pPr>
      <w:r>
        <w:rPr>
          <w:rFonts w:ascii="Arial" w:cs="Arial" w:eastAsia="Arial" w:hAnsi="Arial"/>
          <w:color w:val="333333"/>
          <w:sz w:val="22"/>
          <w:szCs w:val="22"/>
        </w:rPr>
        <w:t xml:space="preserve">MarketIQ™ is a Layer 1 tool with an address lookup widget on the homepage. No portal entry required. The full report either displays on-page or is emailed at opt-in. It is also the decision tool at Stage 5 of the Buyer’s Edge assessment and the starting point of the Seller’s Edge assessment.</w:t>
      </w:r>
    </w:p>
    <w:p>
      <w:r>
        <w:br w:type="page"/>
      </w:r>
    </w:p>
    <w:p>
      <w:pPr>
        <w:pStyle w:val="Heading1"/>
        <w:spacing w:after="120" w:before="360"/>
      </w:pPr>
      <w:r>
        <w:rPr>
          <w:rFonts w:ascii="Arial" w:cs="Arial" w:eastAsia="Arial" w:hAnsi="Arial"/>
          <w:b/>
          <w:bCs/>
          <w:color w:val="1B3A5C"/>
          <w:sz w:val="36"/>
          <w:szCs w:val="36"/>
        </w:rPr>
        <w:t xml:space="preserve">6. reLifeIQ™ — The Why Video</w:t>
      </w:r>
    </w:p>
    <w:p>
      <w:pPr>
        <w:pBdr>
          <w:bottom w:val="single" w:color="2089A0" w:sz="6" w:space="1"/>
        </w:pBdr>
        <w:spacing w:after="160" w:before="160"/>
      </w:pPr>
      <w:r>
        <w:t xml:space="preserve"/>
      </w:r>
    </w:p>
    <w:p>
      <w:pPr>
        <w:pStyle w:val="Heading2"/>
        <w:spacing w:after="100" w:before="280"/>
      </w:pPr>
      <w:r>
        <w:rPr>
          <w:rFonts w:ascii="Arial" w:cs="Arial" w:eastAsia="Arial" w:hAnsi="Arial"/>
          <w:b/>
          <w:bCs/>
          <w:color w:val="2089A0"/>
          <w:sz w:val="28"/>
          <w:szCs w:val="28"/>
        </w:rPr>
        <w:t xml:space="preserve">What It Is</w:t>
      </w:r>
    </w:p>
    <w:p>
      <w:pPr>
        <w:spacing w:after="80" w:before="80"/>
      </w:pPr>
      <w:r>
        <w:rPr>
          <w:rFonts w:ascii="Arial" w:cs="Arial" w:eastAsia="Arial" w:hAnsi="Arial"/>
          <w:color w:val="333333"/>
          <w:sz w:val="22"/>
          <w:szCs w:val="22"/>
        </w:rPr>
        <w:t xml:space="preserve">reLifeIQ™ is not a portal, an app, or a tool suite. It is the site’s philosophy made visible. A single Phil-on-camera video, 60–90 seconds, placed directly below the hero section on the homepage. It answers the question every visitor is already asking: why is this site different from Zillow?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60"/>
              <w:left w:type="dxa" w:w="240"/>
              <w:bottom w:type="dxa" w:w="160"/>
              <w:right w:type="dxa" w:w="240"/>
            </w:tcMar>
          </w:tcPr>
          <w:p>
            <w:r>
              <w:rPr>
                <w:rFonts w:ascii="Arial" w:cs="Arial" w:eastAsia="Arial" w:hAnsi="Arial"/>
                <w:i/>
                <w:iCs/>
                <w:color w:val="333333"/>
                <w:sz w:val="22"/>
                <w:szCs w:val="22"/>
              </w:rPr>
              <w:t xml:space="preserve">reLifeIQ™ is the Simon Sinek moment for the site. Start with why — then show them the tools.</w:t>
            </w:r>
          </w:p>
        </w:tc>
      </w:tr>
    </w:tbl>
    <w:p>
      <w:pPr>
        <w:spacing w:after="80" w:before="120"/>
      </w:pPr>
      <w:r>
        <w:t xml:space="preserve"/>
      </w:r>
    </w:p>
    <w:p>
      <w:pPr>
        <w:pStyle w:val="Heading2"/>
        <w:spacing w:after="100" w:before="280"/>
      </w:pPr>
      <w:r>
        <w:rPr>
          <w:rFonts w:ascii="Arial" w:cs="Arial" w:eastAsia="Arial" w:hAnsi="Arial"/>
          <w:b/>
          <w:bCs/>
          <w:color w:val="2089A0"/>
          <w:sz w:val="28"/>
          <w:szCs w:val="28"/>
        </w:rPr>
        <w:t xml:space="preserve">What the Video Covers</w:t>
      </w:r>
    </w:p>
    <w:p>
      <w:pPr>
        <w:pStyle w:val="ListParagraph"/>
        <w:numPr>
          <w:ilvl w:val="0"/>
          <w:numId w:val="2"/>
        </w:numPr>
        <w:spacing w:after="60" w:before="60"/>
      </w:pPr>
      <w:r>
        <w:rPr>
          <w:rFonts w:ascii="Arial" w:cs="Arial" w:eastAsia="Arial" w:hAnsi="Arial"/>
          <w:color w:val="333333"/>
          <w:sz w:val="21"/>
          <w:szCs w:val="21"/>
        </w:rPr>
        <w:t xml:space="preserve">Why Phil built this site — the belief that every real estate decision begins with a life moment</w:t>
      </w:r>
    </w:p>
    <w:p>
      <w:pPr>
        <w:pStyle w:val="ListParagraph"/>
        <w:numPr>
          <w:ilvl w:val="0"/>
          <w:numId w:val="2"/>
        </w:numPr>
        <w:spacing w:after="60" w:before="60"/>
      </w:pPr>
      <w:r>
        <w:rPr>
          <w:rFonts w:ascii="Arial" w:cs="Arial" w:eastAsia="Arial" w:hAnsi="Arial"/>
          <w:color w:val="333333"/>
          <w:sz w:val="21"/>
          <w:szCs w:val="21"/>
        </w:rPr>
        <w:t xml:space="preserve">Who Phil is — personal, warm, direct. Not a sales pitch.</w:t>
      </w:r>
    </w:p>
    <w:p>
      <w:pPr>
        <w:pStyle w:val="ListParagraph"/>
        <w:numPr>
          <w:ilvl w:val="0"/>
          <w:numId w:val="2"/>
        </w:numPr>
        <w:spacing w:after="60" w:before="60"/>
      </w:pPr>
      <w:r>
        <w:rPr>
          <w:rFonts w:ascii="Arial" w:cs="Arial" w:eastAsia="Arial" w:hAnsi="Arial"/>
          <w:color w:val="333333"/>
          <w:sz w:val="21"/>
          <w:szCs w:val="21"/>
        </w:rPr>
        <w:t xml:space="preserve">What the IQ tools are — BuyerIQ™, SellerIQ™, MarketIQ™ explained simply</w:t>
      </w:r>
    </w:p>
    <w:p>
      <w:pPr>
        <w:pStyle w:val="ListParagraph"/>
        <w:numPr>
          <w:ilvl w:val="0"/>
          <w:numId w:val="2"/>
        </w:numPr>
        <w:spacing w:after="60" w:before="60"/>
      </w:pPr>
      <w:r>
        <w:rPr>
          <w:rFonts w:ascii="Arial" w:cs="Arial" w:eastAsia="Arial" w:hAnsi="Arial"/>
          <w:color w:val="333333"/>
          <w:sz w:val="21"/>
          <w:szCs w:val="21"/>
        </w:rPr>
        <w:t xml:space="preserve">A nudge to use them — “Start with the one that fits where you are right now”</w:t>
      </w:r>
    </w:p>
    <w:p>
      <w:pPr>
        <w:spacing w:after="80" w:before="120"/>
      </w:pPr>
      <w:r>
        <w:t xml:space="preserve"/>
      </w:r>
    </w:p>
    <w:p>
      <w:pPr>
        <w:pStyle w:val="Heading2"/>
        <w:spacing w:after="100" w:before="280"/>
      </w:pPr>
      <w:r>
        <w:rPr>
          <w:rFonts w:ascii="Arial" w:cs="Arial" w:eastAsia="Arial" w:hAnsi="Arial"/>
          <w:b/>
          <w:bCs/>
          <w:color w:val="2089A0"/>
          <w:sz w:val="28"/>
          <w:szCs w:val="28"/>
        </w:rPr>
        <w:t xml:space="preserve">Homepage Placement</w:t>
      </w:r>
    </w:p>
    <w:p>
      <w:pPr>
        <w:spacing w:after="80" w:before="80"/>
      </w:pPr>
      <w:r>
        <w:rPr>
          <w:rFonts w:ascii="Arial" w:cs="Arial" w:eastAsia="Arial" w:hAnsi="Arial"/>
          <w:color w:val="333333"/>
          <w:sz w:val="22"/>
          <w:szCs w:val="22"/>
        </w:rPr>
        <w:t xml:space="preserve">The video lives immediately below the hero section — after the IDX search hook and the “Sell Smart. Buy Right. Build More.” decision point, but before the visitor chooses a path. It should not autoplay. It should look like a chapter break — a natural pause that invites engagement before the journey begins.</w:t>
      </w:r>
    </w:p>
    <w:p>
      <w:pPr>
        <w:spacing w:after="80" w:before="80"/>
      </w:pPr>
      <w:r>
        <w:t xml:space="preserve"/>
      </w:r>
    </w:p>
    <w:p>
      <w:pPr>
        <w:pStyle w:val="Heading2"/>
        <w:spacing w:after="100" w:before="280"/>
      </w:pPr>
      <w:r>
        <w:rPr>
          <w:rFonts w:ascii="Arial" w:cs="Arial" w:eastAsia="Arial" w:hAnsi="Arial"/>
          <w:b/>
          <w:bCs/>
          <w:color w:val="2089A0"/>
          <w:sz w:val="28"/>
          <w:szCs w:val="28"/>
        </w:rPr>
        <w:t xml:space="preserve">reLifeIQ™ Domain — relifeiq.com</w:t>
      </w:r>
    </w:p>
    <w:p>
      <w:pPr>
        <w:spacing w:after="80" w:before="80"/>
      </w:pPr>
      <w:r>
        <w:rPr>
          <w:rFonts w:ascii="Arial" w:cs="Arial" w:eastAsia="Arial" w:hAnsi="Arial"/>
          <w:color w:val="333333"/>
          <w:sz w:val="22"/>
          <w:szCs w:val="22"/>
        </w:rPr>
        <w:t xml:space="preserve">The domain was registered May 2026. With this architecture, it becomes a marketing asset rather than a product destination. Two options:</w:t>
      </w:r>
    </w:p>
    <w:p>
      <w:pPr>
        <w:pStyle w:val="ListParagraph"/>
        <w:numPr>
          <w:ilvl w:val="0"/>
          <w:numId w:val="2"/>
        </w:numPr>
        <w:spacing w:after="60" w:before="60"/>
      </w:pPr>
      <w:r>
        <w:rPr>
          <w:rFonts w:ascii="Arial" w:cs="Arial" w:eastAsia="Arial" w:hAnsi="Arial"/>
          <w:color w:val="333333"/>
          <w:sz w:val="21"/>
          <w:szCs w:val="21"/>
        </w:rPr>
        <w:t xml:space="preserve">Redirect to philliphimes.com (simple, immediate)</w:t>
      </w:r>
    </w:p>
    <w:p>
      <w:pPr>
        <w:pStyle w:val="ListParagraph"/>
        <w:numPr>
          <w:ilvl w:val="0"/>
          <w:numId w:val="2"/>
        </w:numPr>
        <w:spacing w:after="60" w:before="60"/>
      </w:pPr>
      <w:r>
        <w:rPr>
          <w:rFonts w:ascii="Arial" w:cs="Arial" w:eastAsia="Arial" w:hAnsi="Arial"/>
          <w:color w:val="333333"/>
          <w:sz w:val="21"/>
          <w:szCs w:val="21"/>
        </w:rPr>
        <w:t xml:space="preserve">Standalone landing page targeting the 50–60 equity-rich avatar — drives them into the Seller’s Edge assessment. Strong paid ad play down the road. (Recommended Phase 2)</w:t>
      </w:r>
    </w:p>
    <w:p>
      <w:pPr>
        <w:pStyle w:val="Heading2"/>
        <w:spacing w:after="100" w:before="280"/>
      </w:pPr>
      <w:r>
        <w:rPr>
          <w:rFonts w:ascii="Arial" w:cs="Arial" w:eastAsia="Arial" w:hAnsi="Arial"/>
          <w:b/>
          <w:bCs/>
          <w:color w:val="2089A0"/>
          <w:sz w:val="28"/>
          <w:szCs w:val="28"/>
        </w:rPr>
        <w:t xml:space="preserve">Rebalance™, Amplify™, and Renew™</w:t>
      </w:r>
    </w:p>
    <w:p>
      <w:pPr>
        <w:spacing w:after="80" w:before="80"/>
      </w:pPr>
      <w:r>
        <w:rPr>
          <w:rFonts w:ascii="Arial" w:cs="Arial" w:eastAsia="Arial" w:hAnsi="Arial"/>
          <w:color w:val="333333"/>
          <w:sz w:val="22"/>
          <w:szCs w:val="22"/>
        </w:rPr>
        <w:t xml:space="preserve">These three tools are delivered AFTER the SellerIQ™ journey via Caitlyn, not as a portal visitors navigate into. See Section 4 for the full delivery mechanism. The reLifeIQ™ video on the homepage introduces the philosophy. Caitlyn delivers the specific tool at the right moment.</w:t>
      </w:r>
    </w:p>
    <w:p>
      <w:r>
        <w:br w:type="page"/>
      </w:r>
    </w:p>
    <w:p>
      <w:pPr>
        <w:pStyle w:val="Heading1"/>
        <w:spacing w:after="120" w:before="360"/>
      </w:pPr>
      <w:r>
        <w:rPr>
          <w:rFonts w:ascii="Arial" w:cs="Arial" w:eastAsia="Arial" w:hAnsi="Arial"/>
          <w:b/>
          <w:bCs/>
          <w:color w:val="1B3A5C"/>
          <w:sz w:val="36"/>
          <w:szCs w:val="36"/>
        </w:rPr>
        <w:t xml:space="preserve">7. Videos Phil Needs to Record</w:t>
      </w:r>
    </w:p>
    <w:p>
      <w:pPr>
        <w:pBdr>
          <w:bottom w:val="single" w:color="2089A0" w:sz="6" w:space="1"/>
        </w:pBdr>
        <w:spacing w:after="160" w:before="160"/>
      </w:pPr>
      <w:r>
        <w:t xml:space="preserve"/>
      </w:r>
    </w:p>
    <w:p>
      <w:pPr>
        <w:spacing w:after="80" w:before="80"/>
      </w:pPr>
      <w:r>
        <w:rPr>
          <w:rFonts w:ascii="Arial" w:cs="Arial" w:eastAsia="Arial" w:hAnsi="Arial"/>
          <w:color w:val="333333"/>
          <w:sz w:val="22"/>
          <w:szCs w:val="22"/>
        </w:rPr>
        <w:t xml:space="preserve">The entire system is driven by Phil on camera. These are the videos needed across all portals: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Video</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Where It Lives</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Length</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B3A5C"/>
                <w:sz w:val="19"/>
                <w:szCs w:val="19"/>
              </w:rPr>
              <w:t xml:space="preserve">reLifeIQ™ — The Why</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Homepage, below hero</w:t>
            </w:r>
          </w:p>
        </w:tc>
        <w:tc>
          <w:tcPr>
            <w:tcW w:type="dxa" w:w="1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60–90 sec</w:t>
            </w:r>
          </w:p>
        </w:tc>
        <w:tc>
          <w:tcPr>
            <w:tcW w:type="dxa" w:w="3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Explains the site philosophy and introduces the IQ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Rebalance™ Intro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Caitlyn delivers post-SellerIQ journey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60–90 sec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For downsizers / empty nesters — “Let’s take it to the next level”</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B3A5C"/>
                <w:sz w:val="19"/>
                <w:szCs w:val="19"/>
              </w:rPr>
              <w:t xml:space="preserve">Amplify™ Intro</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Caitlyn delivers post-SellerIQ journey</w:t>
            </w:r>
          </w:p>
        </w:tc>
        <w:tc>
          <w:tcPr>
            <w:tcW w:type="dxa" w:w="1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60–90 sec</w:t>
            </w:r>
          </w:p>
        </w:tc>
        <w:tc>
          <w:tcPr>
            <w:tcW w:type="dxa" w:w="3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For equity-rich sellers exploring options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Renew™ Intro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Caitlyn delivers post-SellerIQ journey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60–90 sec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For life transition sellers — forward-looking, never dwelling on hardship</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B3A5C"/>
                <w:sz w:val="19"/>
                <w:szCs w:val="19"/>
              </w:rPr>
              <w:t xml:space="preserve">General Seller Next Steps</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Caitlyn delivers post-SellerIQ journey</w:t>
            </w:r>
          </w:p>
        </w:tc>
        <w:tc>
          <w:tcPr>
            <w:tcW w:type="dxa" w:w="1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60 sec</w:t>
            </w:r>
          </w:p>
        </w:tc>
        <w:tc>
          <w:tcPr>
            <w:tcW w:type="dxa" w:w="3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19"/>
                <w:szCs w:val="19"/>
              </w:rPr>
              <w:t xml:space="preserve">For general sellers — here’s how we move forward together</w:t>
            </w:r>
          </w:p>
        </w:tc>
      </w:tr>
    </w:tbl>
    <w:p>
      <w:r>
        <w:br w:type="page"/>
      </w:r>
    </w:p>
    <w:p>
      <w:pPr>
        <w:pStyle w:val="Heading1"/>
        <w:spacing w:after="120" w:before="360"/>
      </w:pPr>
      <w:r>
        <w:rPr>
          <w:rFonts w:ascii="Arial" w:cs="Arial" w:eastAsia="Arial" w:hAnsi="Arial"/>
          <w:b/>
          <w:bCs/>
          <w:color w:val="1B3A5C"/>
          <w:sz w:val="36"/>
          <w:szCs w:val="36"/>
        </w:rPr>
        <w:t xml:space="preserve">8. How the System Connects</w:t>
      </w:r>
    </w:p>
    <w:p>
      <w:pPr>
        <w:pBdr>
          <w:bottom w:val="single" w:color="2089A0" w:sz="6" w:space="1"/>
        </w:pBdr>
        <w:spacing w:after="160" w:before="160"/>
      </w:pPr>
      <w:r>
        <w:t xml:space="preserve"/>
      </w:r>
    </w:p>
    <w:p>
      <w:pPr>
        <w:pStyle w:val="Heading2"/>
        <w:spacing w:after="100" w:before="280"/>
      </w:pPr>
      <w:r>
        <w:rPr>
          <w:rFonts w:ascii="Arial" w:cs="Arial" w:eastAsia="Arial" w:hAnsi="Arial"/>
          <w:b/>
          <w:bCs/>
          <w:color w:val="2089A0"/>
          <w:sz w:val="28"/>
          <w:szCs w:val="28"/>
        </w:rPr>
        <w:t xml:space="preserve">The Buyer Path</w:t>
      </w:r>
    </w:p>
    <w:p>
      <w:pPr>
        <w:spacing w:after="80" w:before="80"/>
      </w:pPr>
      <w:r>
        <w:rPr>
          <w:rFonts w:ascii="Arial" w:cs="Arial" w:eastAsia="Arial" w:hAnsi="Arial"/>
          <w:color w:val="333333"/>
          <w:sz w:val="22"/>
          <w:szCs w:val="22"/>
        </w:rPr>
        <w:t xml:space="preserve">Visitor lands on site → sees reLifeIQ™ video → clicks “Buy Right” → enters Buyer’s Edge assessment → maps life anchors, identifies neighborhoods, evaluates schools → opts in at saved search step → receives personalized Buyer’s Edge Report → Caitlyn follows up with full journey context → Phil gets on a call already knowing exactly who this person is.</w:t>
      </w:r>
    </w:p>
    <w:p>
      <w:pPr>
        <w:spacing w:after="80" w:before="80"/>
      </w:pPr>
      <w:r>
        <w:t xml:space="preserve"/>
      </w:r>
    </w:p>
    <w:p>
      <w:pPr>
        <w:pStyle w:val="Heading2"/>
        <w:spacing w:after="100" w:before="280"/>
      </w:pPr>
      <w:r>
        <w:rPr>
          <w:rFonts w:ascii="Arial" w:cs="Arial" w:eastAsia="Arial" w:hAnsi="Arial"/>
          <w:b/>
          <w:bCs/>
          <w:color w:val="2089A0"/>
          <w:sz w:val="28"/>
          <w:szCs w:val="28"/>
        </w:rPr>
        <w:t xml:space="preserve">The Seller Path</w:t>
      </w:r>
    </w:p>
    <w:p>
      <w:pPr>
        <w:spacing w:after="80" w:before="80"/>
      </w:pPr>
      <w:r>
        <w:rPr>
          <w:rFonts w:ascii="Arial" w:cs="Arial" w:eastAsia="Arial" w:hAnsi="Arial"/>
          <w:color w:val="333333"/>
          <w:sz w:val="22"/>
          <w:szCs w:val="22"/>
        </w:rPr>
        <w:t xml:space="preserve">Visitor lands on site → sees reLifeIQ™ video → clicks “Sell Smart” → enters Seller’s Edge assessment → answers life event question → journey adapts to their specific situation → opts in at natural commitment point → receives personalized Seller’s Edge Report → Caitlyn delivers the relevant reLifeIQ™ video (Rebalance™, Amplify™, or Renew™) → GHL sequence activates for that specific path.</w:t>
      </w:r>
    </w:p>
    <w:p>
      <w:pPr>
        <w:spacing w:after="80" w:before="80"/>
      </w:pPr>
      <w:r>
        <w:t xml:space="preserve"/>
      </w:r>
    </w:p>
    <w:p>
      <w:pPr>
        <w:pStyle w:val="Heading2"/>
        <w:spacing w:after="100" w:before="280"/>
      </w:pPr>
      <w:r>
        <w:rPr>
          <w:rFonts w:ascii="Arial" w:cs="Arial" w:eastAsia="Arial" w:hAnsi="Arial"/>
          <w:b/>
          <w:bCs/>
          <w:color w:val="2089A0"/>
          <w:sz w:val="28"/>
          <w:szCs w:val="28"/>
        </w:rPr>
        <w:t xml:space="preserve">The Property Research Path</w:t>
      </w:r>
    </w:p>
    <w:p>
      <w:pPr>
        <w:spacing w:after="80" w:before="80"/>
      </w:pPr>
      <w:r>
        <w:rPr>
          <w:rFonts w:ascii="Arial" w:cs="Arial" w:eastAsia="Arial" w:hAnsi="Arial"/>
          <w:color w:val="333333"/>
          <w:sz w:val="22"/>
          <w:szCs w:val="22"/>
        </w:rPr>
        <w:t xml:space="preserve">Visitor finds an address they care about (from any source — Zillow, a drive-by, a referral) → enters it into the MarketIQ™ lookup on the homepage → receives a full property intelligence report → opts in to receive the report via email → GHL records their interest in that specific property → Caitlyn has context for intelligent outreach.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60"/>
              <w:left w:type="dxa" w:w="240"/>
              <w:bottom w:type="dxa" w:w="160"/>
              <w:right w:type="dxa" w:w="240"/>
            </w:tcMar>
          </w:tcPr>
          <w:p>
            <w:r>
              <w:rPr>
                <w:rFonts w:ascii="Arial" w:cs="Arial" w:eastAsia="Arial" w:hAnsi="Arial"/>
                <w:i/>
                <w:iCs/>
                <w:color w:val="333333"/>
                <w:sz w:val="22"/>
                <w:szCs w:val="22"/>
              </w:rPr>
              <w:t xml:space="preserve">The website and AI Brokerage teach each other over time. GA4 + Clarity feed the Analysis Agent weekly. IDXAddons feeds individual behavior into GHL. Caitlyn conversation patterns inform what content the site needs next.</w:t>
            </w:r>
          </w:p>
        </w:tc>
      </w:tr>
    </w:tbl>
    <w:p>
      <w:r>
        <w:br w:type="page"/>
      </w:r>
    </w:p>
    <w:p>
      <w:pPr>
        <w:pStyle w:val="Heading1"/>
        <w:spacing w:after="120" w:before="360"/>
      </w:pPr>
      <w:r>
        <w:rPr>
          <w:rFonts w:ascii="Arial" w:cs="Arial" w:eastAsia="Arial" w:hAnsi="Arial"/>
          <w:b/>
          <w:bCs/>
          <w:color w:val="1B3A5C"/>
          <w:sz w:val="36"/>
          <w:szCs w:val="36"/>
        </w:rPr>
        <w:t xml:space="preserve">9. Next Steps</w:t>
      </w:r>
    </w:p>
    <w:p>
      <w:pPr>
        <w:pBdr>
          <w:bottom w:val="single" w:color="2089A0" w:sz="6" w:space="1"/>
        </w:pBdr>
        <w:spacing w:after="160" w:before="160"/>
      </w:pPr>
      <w:r>
        <w:t xml:space="preserve"/>
      </w:r>
    </w:p>
    <w:p>
      <w:pPr>
        <w:spacing w:after="80" w:before="80"/>
      </w:pPr>
      <w:r>
        <w:rPr>
          <w:rFonts w:ascii="Arial" w:cs="Arial" w:eastAsia="Arial" w:hAnsi="Arial"/>
          <w:color w:val="333333"/>
          <w:sz w:val="22"/>
          <w:szCs w:val="22"/>
        </w:rPr>
        <w:t xml:space="preserve">In priority order based on revenue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Why Now</w:t>
            </w:r>
          </w:p>
        </w:tc>
      </w:tr>
      <w:tr>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3A5C"/>
                <w:sz w:val="20"/>
                <w:szCs w:val="20"/>
              </w:rPr>
              <w:t xml:space="preserve">1</w:t>
            </w:r>
          </w:p>
        </w:tc>
        <w:tc>
          <w:tcPr>
            <w:tcW w:type="dxa" w:w="5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19"/>
                <w:szCs w:val="19"/>
              </w:rPr>
              <w:t xml:space="preserve">Record reLifeIQ™ homepage video</w:t>
            </w:r>
          </w:p>
        </w:tc>
        <w:tc>
          <w:tcPr>
            <w:tcW w:type="dxa" w:w="3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i/>
                <w:iCs/>
                <w:color w:val="555555"/>
                <w:sz w:val="19"/>
                <w:szCs w:val="19"/>
              </w:rPr>
              <w:t xml:space="preserve">Unlocks the homepage trust layer — no code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Record 3–4 reLifeIQ™ suite videos (Rebalance™, Amplify™, Renew™, General)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Enables Caitlyn post-journey delivery — no code required</w:t>
            </w:r>
          </w:p>
        </w:tc>
      </w:tr>
      <w:tr>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3A5C"/>
                <w:sz w:val="20"/>
                <w:szCs w:val="20"/>
              </w:rPr>
              <w:t xml:space="preserve">3</w:t>
            </w:r>
          </w:p>
        </w:tc>
        <w:tc>
          <w:tcPr>
            <w:tcW w:type="dxa" w:w="5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19"/>
                <w:szCs w:val="19"/>
              </w:rPr>
              <w:t xml:space="preserve">Purchase IDX Broker via RealtyCandy (HAR MLS, Engage plan)</w:t>
            </w:r>
          </w:p>
        </w:tc>
        <w:tc>
          <w:tcPr>
            <w:tcW w:type="dxa" w:w="3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i/>
                <w:iCs/>
                <w:color w:val="555555"/>
                <w:sz w:val="19"/>
                <w:szCs w:val="19"/>
              </w:rPr>
              <w:t xml:space="preserve">Unlocks property search, saved searches, and listing alerts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Buyer’s Edge assessment wizard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Core BuyerIQ™ portal — the primary buyer lead engine</w:t>
            </w:r>
          </w:p>
        </w:tc>
      </w:tr>
      <w:tr>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3A5C"/>
                <w:sz w:val="20"/>
                <w:szCs w:val="20"/>
              </w:rPr>
              <w:t xml:space="preserve">5</w:t>
            </w:r>
          </w:p>
        </w:tc>
        <w:tc>
          <w:tcPr>
            <w:tcW w:type="dxa" w:w="5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19"/>
                <w:szCs w:val="19"/>
              </w:rPr>
              <w:t xml:space="preserve">Build Seller’s Edge assessment wizard</w:t>
            </w:r>
          </w:p>
        </w:tc>
        <w:tc>
          <w:tcPr>
            <w:tcW w:type="dxa" w:w="3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i/>
                <w:iCs/>
                <w:color w:val="555555"/>
                <w:sz w:val="19"/>
                <w:szCs w:val="19"/>
              </w:rPr>
              <w:t xml:space="preserve">Core SellerIQ™ portal — the primary seller lead engine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MarketIQ™ address lookup widget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Layer 1 tool — high utility, drives repeat visits</w:t>
            </w:r>
          </w:p>
        </w:tc>
      </w:tr>
      <w:tr>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3A5C"/>
                <w:sz w:val="20"/>
                <w:szCs w:val="20"/>
              </w:rPr>
              <w:t xml:space="preserve">7</w:t>
            </w:r>
          </w:p>
        </w:tc>
        <w:tc>
          <w:tcPr>
            <w:tcW w:type="dxa" w:w="5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19"/>
                <w:szCs w:val="19"/>
              </w:rPr>
              <w:t xml:space="preserve">Connect Netlify forms → GHL webhook</w:t>
            </w:r>
          </w:p>
        </w:tc>
        <w:tc>
          <w:tcPr>
            <w:tcW w:type="dxa" w:w="3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i/>
                <w:iCs/>
                <w:color w:val="555555"/>
                <w:sz w:val="19"/>
                <w:szCs w:val="19"/>
              </w:rPr>
              <w:t xml:space="preserve">Closes the loop between site and CRM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6 individual city pages (SEO Phase 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Organic traffic engine — critical for long-term lead gen</w:t>
            </w:r>
          </w:p>
        </w:tc>
      </w:tr>
    </w:tbl>
    <w:p>
      <w:pPr>
        <w:spacing w:after="12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r>
              <w:rPr>
                <w:rFonts w:ascii="Arial" w:cs="Arial" w:eastAsia="Arial" w:hAnsi="Arial"/>
                <w:i/>
                <w:iCs/>
                <w:color w:val="333333"/>
                <w:sz w:val="22"/>
                <w:szCs w:val="22"/>
              </w:rPr>
              <w:t xml:space="preserve">Note: Items 1 and 2 require no code and no purchases. They are the highest-leverage moves available right now because they activate Caitlyn’s post-journey delivery system the moment the assessments go live.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455" w:sz="6"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089A0" w:sz="6" w:space="1"/>
      </w:pBdr>
    </w:pPr>
    <w:r>
      <w:rPr>
        <w:rFonts w:ascii="Arial" w:cs="Arial" w:eastAsia="Arial" w:hAnsi="Arial"/>
        <w:color w:val="888888"/>
        <w:sz w:val="18"/>
        <w:szCs w:val="18"/>
      </w:rPr>
      <w:t xml:space="preserve">philliphimes.com  |  IQ Brand Family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089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2026-05-11T14:34:52.182Z</dcterms:created>
  <dcterms:modified xsi:type="dcterms:W3CDTF">2026-05-11T14:34:52.182Z</dcterms:modified>
</cp:coreProperties>
</file>

<file path=docProps/custom.xml><?xml version="1.0" encoding="utf-8"?>
<Properties xmlns="http://schemas.openxmlformats.org/officeDocument/2006/custom-properties" xmlns:vt="http://schemas.openxmlformats.org/officeDocument/2006/docPropsVTypes"/>
</file>