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2A44"/>
          <w:sz w:val="44"/>
          <w:szCs w:val="44"/>
        </w:rPr>
        <w:t xml:space="preserve">XYZ LUXURY</w:t>
      </w:r>
    </w:p>
    <w:p>
      <w:pPr>
        <w:spacing w:after="40"/>
      </w:pPr>
      <w:r>
        <w:rPr>
          <w:b/>
          <w:bCs/>
          <w:color w:val="B8863B"/>
          <w:sz w:val="30"/>
          <w:szCs w:val="30"/>
        </w:rPr>
        <w:t xml:space="preserve">Marketing Performance Analysis &amp; 25% Growth Plan</w:t>
      </w:r>
    </w:p>
    <w:p>
      <w:pPr>
        <w:spacing w:after="400"/>
      </w:pPr>
      <w:r>
        <w:rPr>
          <w:i/>
          <w:iCs/>
          <w:color w:val="6B6B6B"/>
          <w:sz w:val="18"/>
          <w:szCs w:val="18"/>
        </w:rPr>
        <w:t xml:space="preserve">Prepared for Growify Digital — Associate Data Analyst Candidate Assessment  |  Data window: 1 Mar 2026 – 27 Aug 2026 (6 months)  |  Sources: Shopify, Google Ads, Meta Ads</w:t>
      </w:r>
    </w:p>
    <w:p>
      <w:pPr>
        <w:pStyle w:val="Heading1"/>
        <w:spacing w:after="200" w:before="400"/>
      </w:pPr>
      <w:r>
        <w:t xml:space="preserve">Executive Summary</w:t>
      </w:r>
    </w:p>
    <w:p>
      <w:pPr>
        <w:spacing w:after="150"/>
      </w:pPr>
      <w:r>
        <w:t xml:space="preserve">Over the six months in the dataset, XYZ Luxury spent ₹6,280,407 across Google Ads and Meta Ads and recorded ₹23,002,774 in net Shopify sales — a business-level blended ROAS of 3.66x. That headline number hides a problem: monthly blended ROAS has fallen every month since April, from 3.09x to 1.59x in August, even as spend rose. The account is not short of budget — it is short of discipline in how that budget is being spent.</w:t>
      </w:r>
    </w:p>
    <w:p>
      <w:pPr>
        <w:spacing w:after="150"/>
      </w:pPr>
      <w:r>
        <w:t xml:space="preserve">Meta carries 93.7% of total spend but returns 1.89x ROAS. Google carries 6.3% of spend and returns 5.86x. Within Meta itself, the two largest campaigns — together over 46% of all spend — show textbook audience-saturation curves: ROAS on the largest India campaign fell from 6.99x to 1.43x as spend was scaled 35x in three months. Roughly ₹142,000 sits in campaigns with zero recorded return, and a further ₹1.03M sits in campaigns whose efficiency has already collapsed.</w:t>
      </w:r>
    </w:p>
    <w:p>
      <w:pPr>
        <w:spacing w:after="150"/>
      </w:pPr>
      <w:r>
        <w:t xml:space="preserve">The reallocation plan in Section 3 does not add a single rupee of new budget. It moves money out of dead and saturated spend and into proven, still-scaling winners — mainly Google Search/Shopping and four specific Meta campaigns that are still improving as they scale. On the 25% growth target: hitting it purely through efficiency gains at flat spend requires blended ROAS to rise from 3.66x to 4.58x — a 25% efficiency jump. The data supports roughly half to two-thirds of that gap closing through reallocation and waste removal alone. Closing the rest credibly requires new creative supply, funnel/CRO work, and a retention push — not just moving money around. Section 5 lays out the honest math and what would have to be true to get all the way there.</w:t>
      </w:r>
    </w:p>
    <w:p>
      <w:pPr>
        <w:pStyle w:val="Heading2"/>
        <w:spacing w:after="150" w:before="300"/>
      </w:pPr>
      <w:r>
        <w:t xml:space="preserve">How to read this document</w:t>
      </w:r>
    </w:p>
    <w:p>
      <w:pPr>
        <w:pStyle w:val="ListParagraph"/>
        <w:numPr>
          <w:ilvl w:val="0"/>
          <w:numId w:val="1"/>
        </w:numPr>
        <w:spacing w:after="80"/>
      </w:pPr>
      <w:r>
        <w:t xml:space="preserve">Section 1 — Marketing performance analysis (what's working, what isn't)</w:t>
      </w:r>
    </w:p>
    <w:p>
      <w:pPr>
        <w:pStyle w:val="ListParagraph"/>
        <w:numPr>
          <w:ilvl w:val="0"/>
          <w:numId w:val="1"/>
        </w:numPr>
        <w:spacing w:after="80"/>
      </w:pPr>
      <w:r>
        <w:t xml:space="preserve">Section 2 — Campaign → Ad Set → Ad audit, with the exact numbers behind each call</w:t>
      </w:r>
    </w:p>
    <w:p>
      <w:pPr>
        <w:pStyle w:val="ListParagraph"/>
        <w:numPr>
          <w:ilvl w:val="0"/>
          <w:numId w:val="1"/>
        </w:numPr>
        <w:spacing w:after="80"/>
      </w:pPr>
      <w:r>
        <w:t xml:space="preserve">Section 3 — Named budget reallocation plan (totals unchanged)</w:t>
      </w:r>
    </w:p>
    <w:p>
      <w:pPr>
        <w:pStyle w:val="ListParagraph"/>
        <w:numPr>
          <w:ilvl w:val="0"/>
          <w:numId w:val="1"/>
        </w:numPr>
        <w:spacing w:after="80"/>
      </w:pPr>
      <w:r>
        <w:t xml:space="preserve">Section 4 — Top 3 reasons the brand isn't scaling (proof vs. hypothesis, separated)</w:t>
      </w:r>
    </w:p>
    <w:p>
      <w:pPr>
        <w:pStyle w:val="ListParagraph"/>
        <w:numPr>
          <w:ilvl w:val="0"/>
          <w:numId w:val="1"/>
        </w:numPr>
        <w:spacing w:after="80"/>
      </w:pPr>
      <w:r>
        <w:t xml:space="preserve">Section 5 — The 25% growth challenge: the math, the plan, and an honest feasibility call</w:t>
      </w:r>
    </w:p>
    <w:p>
      <w:pPr>
        <w:pStyle w:val="ListParagraph"/>
        <w:numPr>
          <w:ilvl w:val="0"/>
          <w:numId w:val="1"/>
        </w:numPr>
        <w:spacing w:after="80"/>
      </w:pPr>
      <w:r>
        <w:t xml:space="preserve">Section 6 — BI report structure, data model and measures (for the Power BI / Looker build)</w:t>
      </w:r>
    </w:p>
    <w:p>
      <w:pPr>
        <w:pStyle w:val="ListParagraph"/>
        <w:numPr>
          <w:ilvl w:val="0"/>
          <w:numId w:val="1"/>
        </w:numPr>
        <w:spacing w:after="80"/>
      </w:pPr>
      <w:r>
        <w:t xml:space="preserve">Section 7 — One-page management summary</w:t>
      </w:r>
    </w:p>
    <w:p>
      <w:pPr>
        <w:spacing w:after="150"/>
      </w:pPr>
      <w:r>
        <w:rPr>
          <w:i/>
          <w:iCs/>
          <w:color w:val="6B6B6B"/>
        </w:rPr>
        <w:t xml:space="preserve">A note on data quality: Shopify's traffic-source field is populated for only a small fraction of orders (≈₹345K of ₹23M net sales), so ad-platform “Conv. Value” figures are the platforms' own pixel-based attribution, not a verified match to Shopify order IDs. All ROAS figures in this report are therefore platform-reported efficiency signals, directionally reliable and internally consistent for comparison, but not a reconciled P&amp;L. This distinction matters for Section 5 and is called out again there.</w:t>
      </w:r>
    </w:p>
    <w:p>
      <w:r>
        <w:br w:type="page"/>
      </w:r>
    </w:p>
    <w:p>
      <w:pPr>
        <w:sectPr>
          <w:headerReference w:type="default" r:id="rId7"/>
          <w:footerReference w:type="default" r:id="rId8"/>
          <w:pgSz w:w="12240" w:h="15840" w:orient="portrait"/>
          <w:pgMar w:top="720" w:right="720" w:bottom="720" w:left="720" w:header="708" w:footer="708" w:gutter="0"/>
          <w:pgNumType/>
          <w:docGrid w:linePitch="360"/>
        </w:sectPr>
      </w:pPr>
    </w:p>
    <w:p>
      <w:pPr>
        <w:pStyle w:val="Heading1"/>
        <w:spacing w:after="200" w:before="400"/>
      </w:pPr>
      <w:r>
        <w:t xml:space="preserve">1. Marketing Performance Analysis</w:t>
      </w:r>
    </w:p>
    <w:p>
      <w:pPr>
        <w:pStyle w:val="Heading2"/>
        <w:spacing w:after="150" w:before="300"/>
      </w:pPr>
      <w:r>
        <w:t xml:space="preserve">1.1 Platform-level performance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200"/>
        <w:gridCol w:w="1200"/>
        <w:gridCol w:w="1200"/>
        <w:gridCol w:w="1360"/>
      </w:tblGrid>
      <w:tr>
        <w:trPr>
          <w:tblHeader/>
        </w:trPr>
        <w:tc>
          <w:tcPr>
            <w:tcW w:type="dxa" w:w="1800"/>
            <w:shd w:fill="1F2A44" w:val="clear"/>
            <w:tcMar>
              <w:top w:type="dxa" w:w="60"/>
              <w:left w:type="dxa" w:w="80"/>
              <w:bottom w:type="dxa" w:w="60"/>
              <w:right w:type="dxa" w:w="80"/>
            </w:tcMar>
            <w:vAlign w:val="center"/>
          </w:tcPr>
          <w:p>
            <w:pPr>
              <w:jc w:val="left"/>
            </w:pPr>
            <w:r>
              <w:rPr>
                <w:b/>
                <w:bCs/>
                <w:color w:val="FFFFFF"/>
                <w:sz w:val="18"/>
                <w:szCs w:val="18"/>
              </w:rPr>
              <w:t xml:space="preserve">Platform</w:t>
            </w:r>
          </w:p>
        </w:tc>
        <w:tc>
          <w:tcPr>
            <w:tcW w:type="dxa" w:w="1800"/>
            <w:shd w:fill="1F2A44" w:val="clear"/>
            <w:tcMar>
              <w:top w:type="dxa" w:w="60"/>
              <w:left w:type="dxa" w:w="80"/>
              <w:bottom w:type="dxa" w:w="60"/>
              <w:right w:type="dxa" w:w="80"/>
            </w:tcMar>
            <w:vAlign w:val="center"/>
          </w:tcPr>
          <w:p>
            <w:pPr>
              <w:jc w:val="left"/>
            </w:pPr>
            <w:r>
              <w:rPr>
                <w:b/>
                <w:bCs/>
                <w:color w:val="FFFFFF"/>
                <w:sz w:val="18"/>
                <w:szCs w:val="18"/>
              </w:rPr>
              <w:t xml:space="preserve">Spend (INR)</w:t>
            </w:r>
          </w:p>
        </w:tc>
        <w:tc>
          <w:tcPr>
            <w:tcW w:type="dxa" w:w="1800"/>
            <w:shd w:fill="1F2A44" w:val="clear"/>
            <w:tcMar>
              <w:top w:type="dxa" w:w="60"/>
              <w:left w:type="dxa" w:w="80"/>
              <w:bottom w:type="dxa" w:w="60"/>
              <w:right w:type="dxa" w:w="80"/>
            </w:tcMar>
            <w:vAlign w:val="center"/>
          </w:tcPr>
          <w:p>
            <w:pPr>
              <w:jc w:val="left"/>
            </w:pPr>
            <w:r>
              <w:rPr>
                <w:b/>
                <w:bCs/>
                <w:color w:val="FFFFFF"/>
                <w:sz w:val="18"/>
                <w:szCs w:val="18"/>
              </w:rPr>
              <w:t xml:space="preserve">Revenue (INR)</w:t>
            </w:r>
          </w:p>
        </w:tc>
        <w:tc>
          <w:tcPr>
            <w:tcW w:type="dxa" w:w="1200"/>
            <w:shd w:fill="1F2A44" w:val="clear"/>
            <w:tcMar>
              <w:top w:type="dxa" w:w="60"/>
              <w:left w:type="dxa" w:w="80"/>
              <w:bottom w:type="dxa" w:w="60"/>
              <w:right w:type="dxa" w:w="80"/>
            </w:tcMar>
            <w:vAlign w:val="center"/>
          </w:tcPr>
          <w:p>
            <w:pPr>
              <w:jc w:val="left"/>
            </w:pPr>
            <w:r>
              <w:rPr>
                <w:b/>
                <w:bCs/>
                <w:color w:val="FFFFFF"/>
                <w:sz w:val="18"/>
                <w:szCs w:val="18"/>
              </w:rPr>
              <w:t xml:space="preserve">ROAS</w:t>
            </w:r>
          </w:p>
        </w:tc>
        <w:tc>
          <w:tcPr>
            <w:tcW w:type="dxa" w:w="1200"/>
            <w:shd w:fill="1F2A44" w:val="clear"/>
            <w:tcMar>
              <w:top w:type="dxa" w:w="60"/>
              <w:left w:type="dxa" w:w="80"/>
              <w:bottom w:type="dxa" w:w="60"/>
              <w:right w:type="dxa" w:w="80"/>
            </w:tcMar>
            <w:vAlign w:val="center"/>
          </w:tcPr>
          <w:p>
            <w:pPr>
              <w:jc w:val="left"/>
            </w:pPr>
            <w:r>
              <w:rPr>
                <w:b/>
                <w:bCs/>
                <w:color w:val="FFFFFF"/>
                <w:sz w:val="18"/>
                <w:szCs w:val="18"/>
              </w:rPr>
              <w:t xml:space="preserve">CTR</w:t>
            </w:r>
          </w:p>
        </w:tc>
        <w:tc>
          <w:tcPr>
            <w:tcW w:type="dxa" w:w="1200"/>
            <w:shd w:fill="1F2A44" w:val="clear"/>
            <w:tcMar>
              <w:top w:type="dxa" w:w="60"/>
              <w:left w:type="dxa" w:w="80"/>
              <w:bottom w:type="dxa" w:w="60"/>
              <w:right w:type="dxa" w:w="80"/>
            </w:tcMar>
            <w:vAlign w:val="center"/>
          </w:tcPr>
          <w:p>
            <w:pPr>
              <w:jc w:val="left"/>
            </w:pPr>
            <w:r>
              <w:rPr>
                <w:b/>
                <w:bCs/>
                <w:color w:val="FFFFFF"/>
                <w:sz w:val="18"/>
                <w:szCs w:val="18"/>
              </w:rPr>
              <w:t xml:space="preserve">CPC (INR)</w:t>
            </w:r>
          </w:p>
        </w:tc>
        <w:tc>
          <w:tcPr>
            <w:tcW w:type="dxa" w:w="1360"/>
            <w:shd w:fill="1F2A44" w:val="clear"/>
            <w:tcMar>
              <w:top w:type="dxa" w:w="60"/>
              <w:left w:type="dxa" w:w="80"/>
              <w:bottom w:type="dxa" w:w="60"/>
              <w:right w:type="dxa" w:w="80"/>
            </w:tcMar>
            <w:vAlign w:val="center"/>
          </w:tcPr>
          <w:p>
            <w:pPr>
              <w:jc w:val="left"/>
            </w:pPr>
            <w:r>
              <w:rPr>
                <w:b/>
                <w:bCs/>
                <w:color w:val="FFFFFF"/>
                <w:sz w:val="18"/>
                <w:szCs w:val="18"/>
              </w:rPr>
              <w:t xml:space="preserve">CPM (INR)</w:t>
            </w:r>
          </w:p>
        </w:tc>
      </w:tr>
      <w:tr>
        <w:tc>
          <w:tcPr>
            <w:tcW w:type="dxa" w:w="1800"/>
            <w:tcMar>
              <w:top w:type="dxa" w:w="60"/>
              <w:left w:type="dxa" w:w="80"/>
              <w:bottom w:type="dxa" w:w="60"/>
              <w:right w:type="dxa" w:w="80"/>
            </w:tcMar>
            <w:vAlign w:val="center"/>
          </w:tcPr>
          <w:p>
            <w:pPr>
              <w:jc w:val="left"/>
            </w:pPr>
            <w:r>
              <w:rPr>
                <w:b/>
                <w:bCs/>
                <w:color w:val="000000"/>
                <w:sz w:val="18"/>
                <w:szCs w:val="18"/>
              </w:rPr>
              <w:t xml:space="preserve">Google Ads</w:t>
            </w:r>
          </w:p>
        </w:tc>
        <w:tc>
          <w:tcPr>
            <w:tcW w:type="dxa" w:w="1800"/>
            <w:tcMar>
              <w:top w:type="dxa" w:w="60"/>
              <w:left w:type="dxa" w:w="80"/>
              <w:bottom w:type="dxa" w:w="60"/>
              <w:right w:type="dxa" w:w="80"/>
            </w:tcMar>
            <w:vAlign w:val="center"/>
          </w:tcPr>
          <w:p>
            <w:pPr>
              <w:jc w:val="left"/>
            </w:pPr>
            <w:r>
              <w:rPr>
                <w:b w:val="false"/>
                <w:bCs w:val="false"/>
                <w:color w:val="000000"/>
                <w:sz w:val="18"/>
                <w:szCs w:val="18"/>
              </w:rPr>
              <w:t xml:space="preserve">3,97,615</w:t>
            </w:r>
          </w:p>
        </w:tc>
        <w:tc>
          <w:tcPr>
            <w:tcW w:type="dxa" w:w="1800"/>
            <w:tcMar>
              <w:top w:type="dxa" w:w="60"/>
              <w:left w:type="dxa" w:w="80"/>
              <w:bottom w:type="dxa" w:w="60"/>
              <w:right w:type="dxa" w:w="80"/>
            </w:tcMar>
            <w:vAlign w:val="center"/>
          </w:tcPr>
          <w:p>
            <w:pPr>
              <w:jc w:val="left"/>
            </w:pPr>
            <w:r>
              <w:rPr>
                <w:b w:val="false"/>
                <w:bCs w:val="false"/>
                <w:color w:val="000000"/>
                <w:sz w:val="18"/>
                <w:szCs w:val="18"/>
              </w:rPr>
              <w:t xml:space="preserve">23,30,154</w:t>
            </w:r>
          </w:p>
        </w:tc>
        <w:tc>
          <w:tcPr>
            <w:tcW w:type="dxa" w:w="1200"/>
            <w:tcMar>
              <w:top w:type="dxa" w:w="60"/>
              <w:left w:type="dxa" w:w="80"/>
              <w:bottom w:type="dxa" w:w="60"/>
              <w:right w:type="dxa" w:w="80"/>
            </w:tcMar>
            <w:vAlign w:val="center"/>
          </w:tcPr>
          <w:p>
            <w:pPr>
              <w:jc w:val="left"/>
            </w:pPr>
            <w:r>
              <w:rPr>
                <w:b/>
                <w:bCs/>
                <w:color w:val="1E7B45"/>
                <w:sz w:val="18"/>
                <w:szCs w:val="18"/>
              </w:rPr>
              <w:t xml:space="preserve">5.86x</w:t>
            </w:r>
          </w:p>
        </w:tc>
        <w:tc>
          <w:tcPr>
            <w:tcW w:type="dxa" w:w="1200"/>
            <w:tcMar>
              <w:top w:type="dxa" w:w="60"/>
              <w:left w:type="dxa" w:w="80"/>
              <w:bottom w:type="dxa" w:w="60"/>
              <w:right w:type="dxa" w:w="80"/>
            </w:tcMar>
            <w:vAlign w:val="center"/>
          </w:tcPr>
          <w:p>
            <w:pPr>
              <w:jc w:val="left"/>
            </w:pPr>
            <w:r>
              <w:rPr>
                <w:b w:val="false"/>
                <w:bCs w:val="false"/>
                <w:color w:val="000000"/>
                <w:sz w:val="18"/>
                <w:szCs w:val="18"/>
              </w:rPr>
              <w:t xml:space="preserve">2.68%</w:t>
            </w:r>
          </w:p>
        </w:tc>
        <w:tc>
          <w:tcPr>
            <w:tcW w:type="dxa" w:w="1200"/>
            <w:tcMar>
              <w:top w:type="dxa" w:w="60"/>
              <w:left w:type="dxa" w:w="80"/>
              <w:bottom w:type="dxa" w:w="60"/>
              <w:right w:type="dxa" w:w="80"/>
            </w:tcMar>
            <w:vAlign w:val="center"/>
          </w:tcPr>
          <w:p>
            <w:pPr>
              <w:jc w:val="left"/>
            </w:pPr>
            <w:r>
              <w:rPr>
                <w:b w:val="false"/>
                <w:bCs w:val="false"/>
                <w:color w:val="000000"/>
                <w:sz w:val="18"/>
                <w:szCs w:val="18"/>
              </w:rPr>
              <w:t xml:space="preserve">7.21</w:t>
            </w:r>
          </w:p>
        </w:tc>
        <w:tc>
          <w:tcPr>
            <w:tcW w:type="dxa" w:w="1360"/>
            <w:tcMar>
              <w:top w:type="dxa" w:w="60"/>
              <w:left w:type="dxa" w:w="80"/>
              <w:bottom w:type="dxa" w:w="60"/>
              <w:right w:type="dxa" w:w="80"/>
            </w:tcMar>
            <w:vAlign w:val="center"/>
          </w:tcPr>
          <w:p>
            <w:pPr>
              <w:jc w:val="left"/>
            </w:pPr>
            <w:r>
              <w:rPr>
                <w:b w:val="false"/>
                <w:bCs w:val="false"/>
                <w:color w:val="000000"/>
                <w:sz w:val="18"/>
                <w:szCs w:val="18"/>
              </w:rPr>
              <w:t xml:space="preserve">193.12</w:t>
            </w:r>
          </w:p>
        </w:tc>
      </w:tr>
      <w:tr>
        <w:tc>
          <w:tcPr>
            <w:tcW w:type="dxa" w:w="1800"/>
            <w:tcMar>
              <w:top w:type="dxa" w:w="60"/>
              <w:left w:type="dxa" w:w="80"/>
              <w:bottom w:type="dxa" w:w="60"/>
              <w:right w:type="dxa" w:w="80"/>
            </w:tcMar>
            <w:vAlign w:val="center"/>
          </w:tcPr>
          <w:p>
            <w:pPr>
              <w:jc w:val="left"/>
            </w:pPr>
            <w:r>
              <w:rPr>
                <w:b/>
                <w:bCs/>
                <w:color w:val="000000"/>
                <w:sz w:val="18"/>
                <w:szCs w:val="18"/>
              </w:rPr>
              <w:t xml:space="preserve">Meta Ads</w:t>
            </w:r>
          </w:p>
        </w:tc>
        <w:tc>
          <w:tcPr>
            <w:tcW w:type="dxa" w:w="1800"/>
            <w:tcMar>
              <w:top w:type="dxa" w:w="60"/>
              <w:left w:type="dxa" w:w="80"/>
              <w:bottom w:type="dxa" w:w="60"/>
              <w:right w:type="dxa" w:w="80"/>
            </w:tcMar>
            <w:vAlign w:val="center"/>
          </w:tcPr>
          <w:p>
            <w:pPr>
              <w:jc w:val="left"/>
            </w:pPr>
            <w:r>
              <w:rPr>
                <w:b w:val="false"/>
                <w:bCs w:val="false"/>
                <w:color w:val="000000"/>
                <w:sz w:val="18"/>
                <w:szCs w:val="18"/>
              </w:rPr>
              <w:t xml:space="preserve">58,82,792</w:t>
            </w:r>
          </w:p>
        </w:tc>
        <w:tc>
          <w:tcPr>
            <w:tcW w:type="dxa" w:w="1800"/>
            <w:tcMar>
              <w:top w:type="dxa" w:w="60"/>
              <w:left w:type="dxa" w:w="80"/>
              <w:bottom w:type="dxa" w:w="60"/>
              <w:right w:type="dxa" w:w="80"/>
            </w:tcMar>
            <w:vAlign w:val="center"/>
          </w:tcPr>
          <w:p>
            <w:pPr>
              <w:jc w:val="left"/>
            </w:pPr>
            <w:r>
              <w:rPr>
                <w:b w:val="false"/>
                <w:bCs w:val="false"/>
                <w:color w:val="000000"/>
                <w:sz w:val="18"/>
                <w:szCs w:val="18"/>
              </w:rPr>
              <w:t xml:space="preserve">1,11,16,980</w:t>
            </w:r>
          </w:p>
        </w:tc>
        <w:tc>
          <w:tcPr>
            <w:tcW w:type="dxa" w:w="1200"/>
            <w:tcMar>
              <w:top w:type="dxa" w:w="60"/>
              <w:left w:type="dxa" w:w="80"/>
              <w:bottom w:type="dxa" w:w="60"/>
              <w:right w:type="dxa" w:w="80"/>
            </w:tcMar>
            <w:vAlign w:val="center"/>
          </w:tcPr>
          <w:p>
            <w:pPr>
              <w:jc w:val="left"/>
            </w:pPr>
            <w:r>
              <w:rPr>
                <w:b/>
                <w:bCs/>
                <w:color w:val="C0392B"/>
                <w:sz w:val="18"/>
                <w:szCs w:val="18"/>
              </w:rPr>
              <w:t xml:space="preserve">1.89x</w:t>
            </w:r>
          </w:p>
        </w:tc>
        <w:tc>
          <w:tcPr>
            <w:tcW w:type="dxa" w:w="1200"/>
            <w:tcMar>
              <w:top w:type="dxa" w:w="60"/>
              <w:left w:type="dxa" w:w="80"/>
              <w:bottom w:type="dxa" w:w="60"/>
              <w:right w:type="dxa" w:w="80"/>
            </w:tcMar>
            <w:vAlign w:val="center"/>
          </w:tcPr>
          <w:p>
            <w:pPr>
              <w:jc w:val="left"/>
            </w:pPr>
            <w:r>
              <w:rPr>
                <w:b w:val="false"/>
                <w:bCs w:val="false"/>
                <w:color w:val="000000"/>
                <w:sz w:val="18"/>
                <w:szCs w:val="18"/>
              </w:rPr>
              <w:t xml:space="preserve">≈ 6.5%*</w:t>
            </w:r>
          </w:p>
        </w:tc>
        <w:tc>
          <w:tcPr>
            <w:tcW w:type="dxa" w:w="1200"/>
            <w:tcMar>
              <w:top w:type="dxa" w:w="60"/>
              <w:left w:type="dxa" w:w="80"/>
              <w:bottom w:type="dxa" w:w="60"/>
              <w:right w:type="dxa" w:w="80"/>
            </w:tcMar>
            <w:vAlign w:val="center"/>
          </w:tcPr>
          <w:p>
            <w:pPr>
              <w:jc w:val="left"/>
            </w:pPr>
            <w:r>
              <w:rPr>
                <w:b w:val="false"/>
                <w:bCs w:val="false"/>
                <w:color w:val="000000"/>
                <w:sz w:val="18"/>
                <w:szCs w:val="18"/>
              </w:rPr>
              <w:t xml:space="preserve">2.41</w:t>
            </w:r>
          </w:p>
        </w:tc>
        <w:tc>
          <w:tcPr>
            <w:tcW w:type="dxa" w:w="1360"/>
            <w:tcMar>
              <w:top w:type="dxa" w:w="60"/>
              <w:left w:type="dxa" w:w="80"/>
              <w:bottom w:type="dxa" w:w="60"/>
              <w:right w:type="dxa" w:w="80"/>
            </w:tcMar>
            <w:vAlign w:val="center"/>
          </w:tcPr>
          <w:p>
            <w:pPr>
              <w:jc w:val="left"/>
            </w:pPr>
            <w:r>
              <w:rPr>
                <w:b w:val="false"/>
                <w:bCs w:val="false"/>
                <w:color w:val="000000"/>
                <w:sz w:val="18"/>
                <w:szCs w:val="18"/>
              </w:rPr>
              <w:t xml:space="preserve">156.87</w:t>
            </w:r>
          </w:p>
        </w:tc>
      </w:tr>
      <w:tr>
        <w:tc>
          <w:tcPr>
            <w:tcW w:type="dxa" w:w="1800"/>
            <w:shd w:fill="F2F2F2" w:val="clear"/>
            <w:tcMar>
              <w:top w:type="dxa" w:w="60"/>
              <w:left w:type="dxa" w:w="80"/>
              <w:bottom w:type="dxa" w:w="60"/>
              <w:right w:type="dxa" w:w="80"/>
            </w:tcMar>
            <w:vAlign w:val="center"/>
          </w:tcPr>
          <w:p>
            <w:pPr>
              <w:jc w:val="left"/>
            </w:pPr>
            <w:r>
              <w:rPr>
                <w:b/>
                <w:bCs/>
                <w:color w:val="000000"/>
                <w:sz w:val="18"/>
                <w:szCs w:val="18"/>
              </w:rPr>
              <w:t xml:space="preserve">Blended</w:t>
            </w:r>
          </w:p>
        </w:tc>
        <w:tc>
          <w:tcPr>
            <w:tcW w:type="dxa" w:w="1800"/>
            <w:shd w:fill="F2F2F2" w:val="clear"/>
            <w:tcMar>
              <w:top w:type="dxa" w:w="60"/>
              <w:left w:type="dxa" w:w="80"/>
              <w:bottom w:type="dxa" w:w="60"/>
              <w:right w:type="dxa" w:w="80"/>
            </w:tcMar>
            <w:vAlign w:val="center"/>
          </w:tcPr>
          <w:p>
            <w:pPr>
              <w:jc w:val="left"/>
            </w:pPr>
            <w:r>
              <w:rPr>
                <w:b/>
                <w:bCs/>
                <w:color w:val="000000"/>
                <w:sz w:val="18"/>
                <w:szCs w:val="18"/>
              </w:rPr>
              <w:t xml:space="preserve">62,80,407</w:t>
            </w:r>
          </w:p>
        </w:tc>
        <w:tc>
          <w:tcPr>
            <w:tcW w:type="dxa" w:w="1800"/>
            <w:shd w:fill="F2F2F2" w:val="clear"/>
            <w:tcMar>
              <w:top w:type="dxa" w:w="60"/>
              <w:left w:type="dxa" w:w="80"/>
              <w:bottom w:type="dxa" w:w="60"/>
              <w:right w:type="dxa" w:w="80"/>
            </w:tcMar>
            <w:vAlign w:val="center"/>
          </w:tcPr>
          <w:p>
            <w:pPr>
              <w:jc w:val="left"/>
            </w:pPr>
            <w:r>
              <w:rPr>
                <w:b/>
                <w:bCs/>
                <w:color w:val="000000"/>
                <w:sz w:val="18"/>
                <w:szCs w:val="18"/>
              </w:rPr>
              <w:t xml:space="preserve">1,34,47,134</w:t>
            </w:r>
          </w:p>
        </w:tc>
        <w:tc>
          <w:tcPr>
            <w:tcW w:type="dxa" w:w="1200"/>
            <w:shd w:fill="F2F2F2" w:val="clear"/>
            <w:tcMar>
              <w:top w:type="dxa" w:w="60"/>
              <w:left w:type="dxa" w:w="80"/>
              <w:bottom w:type="dxa" w:w="60"/>
              <w:right w:type="dxa" w:w="80"/>
            </w:tcMar>
            <w:vAlign w:val="center"/>
          </w:tcPr>
          <w:p>
            <w:pPr>
              <w:jc w:val="left"/>
            </w:pPr>
            <w:r>
              <w:rPr>
                <w:b/>
                <w:bCs/>
                <w:color w:val="000000"/>
                <w:sz w:val="18"/>
                <w:szCs w:val="18"/>
              </w:rPr>
              <w:t xml:space="preserve">3.66x*</w:t>
            </w:r>
          </w:p>
        </w:tc>
        <w:tc>
          <w:tcPr>
            <w:tcW w:type="dxa" w:w="1200"/>
            <w:shd w:fill="F2F2F2" w:val="clear"/>
            <w:tcMar>
              <w:top w:type="dxa" w:w="60"/>
              <w:left w:type="dxa" w:w="80"/>
              <w:bottom w:type="dxa" w:w="60"/>
              <w:right w:type="dxa" w:w="80"/>
            </w:tcMar>
            <w:vAlign w:val="center"/>
          </w:tcPr>
          <w:p>
            <w:pPr>
              <w:jc w:val="left"/>
            </w:pPr>
            <w:r>
              <w:rPr>
                <w:b w:val="false"/>
                <w:bCs w:val="false"/>
                <w:color w:val="000000"/>
                <w:sz w:val="18"/>
                <w:szCs w:val="18"/>
              </w:rPr>
              <w:t xml:space="preserve">—</w:t>
            </w:r>
          </w:p>
        </w:tc>
        <w:tc>
          <w:tcPr>
            <w:tcW w:type="dxa" w:w="1200"/>
            <w:shd w:fill="F2F2F2" w:val="clear"/>
            <w:tcMar>
              <w:top w:type="dxa" w:w="60"/>
              <w:left w:type="dxa" w:w="80"/>
              <w:bottom w:type="dxa" w:w="60"/>
              <w:right w:type="dxa" w:w="80"/>
            </w:tcMar>
            <w:vAlign w:val="center"/>
          </w:tcPr>
          <w:p>
            <w:pPr>
              <w:jc w:val="left"/>
            </w:pPr>
            <w:r>
              <w:rPr>
                <w:b w:val="false"/>
                <w:bCs w:val="false"/>
                <w:color w:val="000000"/>
                <w:sz w:val="18"/>
                <w:szCs w:val="18"/>
              </w:rPr>
              <w:t xml:space="preserve">—</w:t>
            </w:r>
          </w:p>
        </w:tc>
        <w:tc>
          <w:tcPr>
            <w:tcW w:type="dxa" w:w="1360"/>
            <w:shd w:fill="F2F2F2" w:val="clear"/>
            <w:tcMar>
              <w:top w:type="dxa" w:w="60"/>
              <w:left w:type="dxa" w:w="80"/>
              <w:bottom w:type="dxa" w:w="60"/>
              <w:right w:type="dxa" w:w="80"/>
            </w:tcMar>
            <w:vAlign w:val="center"/>
          </w:tcPr>
          <w:p>
            <w:pPr>
              <w:jc w:val="left"/>
            </w:pPr>
            <w:r>
              <w:rPr>
                <w:b w:val="false"/>
                <w:bCs w:val="false"/>
                <w:color w:val="000000"/>
                <w:sz w:val="18"/>
                <w:szCs w:val="18"/>
              </w:rPr>
              <w:t xml:space="preserve">—</w:t>
            </w:r>
          </w:p>
        </w:tc>
      </w:tr>
    </w:tbl>
    <w:p>
      <w:pPr>
        <w:spacing w:after="150"/>
      </w:pPr>
      <w:r>
        <w:rPr>
          <w:i/>
          <w:iCs/>
          <w:color w:val="6B6B6B"/>
          <w:sz w:val="18"/>
          <w:szCs w:val="18"/>
        </w:rPr>
        <w:t xml:space="preserve">*Meta's CTR is on Link Clicks / Impressions, comparable to Google's click-through definition. “Blended” ROAS here is platform-attributed revenue ÷ platform spend; Section 1.3 shows the business-level ROAS against actual Shopify net sales, which is a different (and more decision-relevant) number.</w:t>
      </w:r>
    </w:p>
    <w:p>
      <w:pPr>
        <w:spacing w:after="100" w:before="200"/>
      </w:pPr>
      <w:r>
        <w:rPr>
          <w:b/>
          <w:bCs/>
          <w:color w:val="1F2A44"/>
          <w:sz w:val="22"/>
          <w:szCs w:val="22"/>
        </w:rPr>
        <w:t xml:space="preserve">Finding: Google is the efficiency engine; Meta is the volume engine — and Meta's efficiency is sliding.</w:t>
      </w:r>
    </w:p>
    <w:p>
      <w:pPr>
        <w:pStyle w:val="ListParagraph"/>
        <w:numPr>
          <w:ilvl w:val="0"/>
          <w:numId w:val="1"/>
        </w:numPr>
        <w:spacing w:after="80"/>
      </w:pPr>
      <w:r>
        <w:t xml:space="preserve">Google returns 5.86x on just 6.3% of spend. It is heavily under-invested relative to its proven efficiency.</w:t>
      </w:r>
    </w:p>
    <w:p>
      <w:pPr>
        <w:pStyle w:val="ListParagraph"/>
        <w:numPr>
          <w:ilvl w:val="0"/>
          <w:numId w:val="1"/>
        </w:numPr>
        <w:spacing w:after="80"/>
      </w:pPr>
      <w:r>
        <w:t xml:space="preserve">Meta returns 1.89x on 93.7% of spend — for a jewellery/accessories brand with reasonable product margins this can still be profitable, but it is far closer to break-even than Google and is trending the wrong way (see 1.2).</w:t>
      </w:r>
    </w:p>
    <w:p>
      <w:pPr>
        <w:pStyle w:val="ListParagraph"/>
        <w:numPr>
          <w:ilvl w:val="0"/>
          <w:numId w:val="1"/>
        </w:numPr>
        <w:spacing w:after="80"/>
      </w:pPr>
      <w:r>
        <w:t xml:space="preserve">This is not an argument to abandon Meta — it delivers 92 of every 100 tracked ad-attributed rupees of revenue — but it is an argument to be far more selective about which Meta campaigns keep getting budget.</w:t>
      </w:r>
    </w:p>
    <w:p>
      <w:pPr>
        <w:pStyle w:val="Heading2"/>
        <w:spacing w:after="150" w:before="300"/>
      </w:pPr>
      <w:r>
        <w:t xml:space="preserve">1.2 Efficiency trend over time — the core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2000"/>
        <w:gridCol w:w="1360"/>
      </w:tblGrid>
      <w:tr>
        <w:trPr>
          <w:tblHeader/>
        </w:trPr>
        <w:tc>
          <w:tcPr>
            <w:tcW w:type="dxa" w:w="1600"/>
            <w:shd w:fill="1F2A44" w:val="clear"/>
            <w:tcMar>
              <w:top w:type="dxa" w:w="60"/>
              <w:left w:type="dxa" w:w="80"/>
              <w:bottom w:type="dxa" w:w="60"/>
              <w:right w:type="dxa" w:w="80"/>
            </w:tcMar>
            <w:vAlign w:val="center"/>
          </w:tcPr>
          <w:p>
            <w:pPr>
              <w:jc w:val="left"/>
            </w:pPr>
            <w:r>
              <w:rPr>
                <w:b/>
                <w:bCs/>
                <w:color w:val="FFFFFF"/>
                <w:sz w:val="18"/>
                <w:szCs w:val="18"/>
              </w:rPr>
              <w:t xml:space="preserve">Month</w:t>
            </w:r>
          </w:p>
        </w:tc>
        <w:tc>
          <w:tcPr>
            <w:tcW w:type="dxa" w:w="2200"/>
            <w:shd w:fill="1F2A44" w:val="clear"/>
            <w:tcMar>
              <w:top w:type="dxa" w:w="60"/>
              <w:left w:type="dxa" w:w="80"/>
              <w:bottom w:type="dxa" w:w="60"/>
              <w:right w:type="dxa" w:w="80"/>
            </w:tcMar>
            <w:vAlign w:val="center"/>
          </w:tcPr>
          <w:p>
            <w:pPr>
              <w:jc w:val="left"/>
            </w:pPr>
            <w:r>
              <w:rPr>
                <w:b/>
                <w:bCs/>
                <w:color w:val="FFFFFF"/>
                <w:sz w:val="18"/>
                <w:szCs w:val="18"/>
              </w:rPr>
              <w:t xml:space="preserve">Total Spend (INR)</w:t>
            </w:r>
          </w:p>
        </w:tc>
        <w:tc>
          <w:tcPr>
            <w:tcW w:type="dxa" w:w="2200"/>
            <w:shd w:fill="1F2A44" w:val="clear"/>
            <w:tcMar>
              <w:top w:type="dxa" w:w="60"/>
              <w:left w:type="dxa" w:w="80"/>
              <w:bottom w:type="dxa" w:w="60"/>
              <w:right w:type="dxa" w:w="80"/>
            </w:tcMar>
            <w:vAlign w:val="center"/>
          </w:tcPr>
          <w:p>
            <w:pPr>
              <w:jc w:val="left"/>
            </w:pPr>
            <w:r>
              <w:rPr>
                <w:b/>
                <w:bCs/>
                <w:color w:val="FFFFFF"/>
                <w:sz w:val="18"/>
                <w:szCs w:val="18"/>
              </w:rPr>
              <w:t xml:space="preserve">Total Revenue (INR)</w:t>
            </w:r>
          </w:p>
        </w:tc>
        <w:tc>
          <w:tcPr>
            <w:tcW w:type="dxa" w:w="2000"/>
            <w:shd w:fill="1F2A44" w:val="clear"/>
            <w:tcMar>
              <w:top w:type="dxa" w:w="60"/>
              <w:left w:type="dxa" w:w="80"/>
              <w:bottom w:type="dxa" w:w="60"/>
              <w:right w:type="dxa" w:w="80"/>
            </w:tcMar>
            <w:vAlign w:val="center"/>
          </w:tcPr>
          <w:p>
            <w:pPr>
              <w:jc w:val="left"/>
            </w:pPr>
            <w:r>
              <w:rPr>
                <w:b/>
                <w:bCs/>
                <w:color w:val="FFFFFF"/>
                <w:sz w:val="18"/>
                <w:szCs w:val="18"/>
              </w:rPr>
              <w:t xml:space="preserve">Blended ROAS</w:t>
            </w:r>
          </w:p>
        </w:tc>
        <w:tc>
          <w:tcPr>
            <w:tcW w:type="dxa" w:w="1360"/>
            <w:shd w:fill="1F2A44" w:val="clear"/>
            <w:tcMar>
              <w:top w:type="dxa" w:w="60"/>
              <w:left w:type="dxa" w:w="80"/>
              <w:bottom w:type="dxa" w:w="60"/>
              <w:right w:type="dxa" w:w="80"/>
            </w:tcMar>
            <w:vAlign w:val="center"/>
          </w:tcPr>
          <w:p>
            <w:pPr>
              <w:jc w:val="left"/>
            </w:pPr>
            <w:r>
              <w:rPr>
                <w:b/>
                <w:bCs/>
                <w:color w:val="FFFFFF"/>
                <w:sz w:val="18"/>
                <w:szCs w:val="18"/>
              </w:rPr>
              <w:t xml:space="preserve">Trend</w:t>
            </w:r>
          </w:p>
        </w:tc>
      </w:tr>
      <w:tr>
        <w:tc>
          <w:tcPr>
            <w:tcW w:type="dxa" w:w="1600"/>
            <w:tcMar>
              <w:top w:type="dxa" w:w="60"/>
              <w:left w:type="dxa" w:w="80"/>
              <w:bottom w:type="dxa" w:w="60"/>
              <w:right w:type="dxa" w:w="80"/>
            </w:tcMar>
            <w:vAlign w:val="center"/>
          </w:tcPr>
          <w:p>
            <w:pPr>
              <w:jc w:val="left"/>
            </w:pPr>
            <w:r>
              <w:rPr>
                <w:b w:val="false"/>
                <w:bCs w:val="false"/>
                <w:color w:val="000000"/>
                <w:sz w:val="18"/>
                <w:szCs w:val="18"/>
              </w:rPr>
              <w:t xml:space="preserve">Mar 2026</w:t>
            </w:r>
          </w:p>
        </w:tc>
        <w:tc>
          <w:tcPr>
            <w:tcW w:type="dxa" w:w="2200"/>
            <w:tcMar>
              <w:top w:type="dxa" w:w="60"/>
              <w:left w:type="dxa" w:w="80"/>
              <w:bottom w:type="dxa" w:w="60"/>
              <w:right w:type="dxa" w:w="80"/>
            </w:tcMar>
            <w:vAlign w:val="center"/>
          </w:tcPr>
          <w:p>
            <w:pPr>
              <w:jc w:val="left"/>
            </w:pPr>
            <w:r>
              <w:rPr>
                <w:b w:val="false"/>
                <w:bCs w:val="false"/>
                <w:color w:val="000000"/>
                <w:sz w:val="18"/>
                <w:szCs w:val="18"/>
              </w:rPr>
              <w:t xml:space="preserve">5,15,905</w:t>
            </w:r>
          </w:p>
        </w:tc>
        <w:tc>
          <w:tcPr>
            <w:tcW w:type="dxa" w:w="2200"/>
            <w:tcMar>
              <w:top w:type="dxa" w:w="60"/>
              <w:left w:type="dxa" w:w="80"/>
              <w:bottom w:type="dxa" w:w="60"/>
              <w:right w:type="dxa" w:w="80"/>
            </w:tcMar>
            <w:vAlign w:val="center"/>
          </w:tcPr>
          <w:p>
            <w:pPr>
              <w:jc w:val="left"/>
            </w:pPr>
            <w:r>
              <w:rPr>
                <w:b w:val="false"/>
                <w:bCs w:val="false"/>
                <w:color w:val="000000"/>
                <w:sz w:val="18"/>
                <w:szCs w:val="18"/>
              </w:rPr>
              <w:t xml:space="preserve">6,64,822</w:t>
            </w:r>
          </w:p>
        </w:tc>
        <w:tc>
          <w:tcPr>
            <w:tcW w:type="dxa" w:w="2000"/>
            <w:tcMar>
              <w:top w:type="dxa" w:w="60"/>
              <w:left w:type="dxa" w:w="80"/>
              <w:bottom w:type="dxa" w:w="60"/>
              <w:right w:type="dxa" w:w="80"/>
            </w:tcMar>
            <w:vAlign w:val="center"/>
          </w:tcPr>
          <w:p>
            <w:pPr>
              <w:jc w:val="left"/>
            </w:pPr>
            <w:r>
              <w:rPr>
                <w:b w:val="false"/>
                <w:bCs w:val="false"/>
                <w:color w:val="000000"/>
                <w:sz w:val="18"/>
                <w:szCs w:val="18"/>
              </w:rPr>
              <w:t xml:space="preserve">1.29x</w:t>
            </w:r>
          </w:p>
        </w:tc>
        <w:tc>
          <w:tcPr>
            <w:tcW w:type="dxa" w:w="1360"/>
            <w:tcMar>
              <w:top w:type="dxa" w:w="60"/>
              <w:left w:type="dxa" w:w="80"/>
              <w:bottom w:type="dxa" w:w="60"/>
              <w:right w:type="dxa" w:w="80"/>
            </w:tcMar>
            <w:vAlign w:val="center"/>
          </w:tcPr>
          <w:p>
            <w:pPr>
              <w:jc w:val="left"/>
            </w:pPr>
            <w:r>
              <w:rPr>
                <w:b w:val="false"/>
                <w:bCs w:val="false"/>
                <w:color w:val="000000"/>
                <w:sz w:val="18"/>
                <w:szCs w:val="18"/>
              </w:rPr>
              <w:t xml:space="preserve">Ramp-up</w:t>
            </w:r>
          </w:p>
        </w:tc>
      </w:tr>
      <w:tr>
        <w:tc>
          <w:tcPr>
            <w:tcW w:type="dxa" w:w="1600"/>
            <w:tcMar>
              <w:top w:type="dxa" w:w="60"/>
              <w:left w:type="dxa" w:w="80"/>
              <w:bottom w:type="dxa" w:w="60"/>
              <w:right w:type="dxa" w:w="80"/>
            </w:tcMar>
            <w:vAlign w:val="center"/>
          </w:tcPr>
          <w:p>
            <w:pPr>
              <w:jc w:val="left"/>
            </w:pPr>
            <w:r>
              <w:rPr>
                <w:b w:val="false"/>
                <w:bCs w:val="false"/>
                <w:color w:val="000000"/>
                <w:sz w:val="18"/>
                <w:szCs w:val="18"/>
              </w:rPr>
              <w:t xml:space="preserve">Apr 2026</w:t>
            </w:r>
          </w:p>
        </w:tc>
        <w:tc>
          <w:tcPr>
            <w:tcW w:type="dxa" w:w="2200"/>
            <w:tcMar>
              <w:top w:type="dxa" w:w="60"/>
              <w:left w:type="dxa" w:w="80"/>
              <w:bottom w:type="dxa" w:w="60"/>
              <w:right w:type="dxa" w:w="80"/>
            </w:tcMar>
            <w:vAlign w:val="center"/>
          </w:tcPr>
          <w:p>
            <w:pPr>
              <w:jc w:val="left"/>
            </w:pPr>
            <w:r>
              <w:rPr>
                <w:b w:val="false"/>
                <w:bCs w:val="false"/>
                <w:color w:val="000000"/>
                <w:sz w:val="18"/>
                <w:szCs w:val="18"/>
              </w:rPr>
              <w:t xml:space="preserve">5,59,859</w:t>
            </w:r>
          </w:p>
        </w:tc>
        <w:tc>
          <w:tcPr>
            <w:tcW w:type="dxa" w:w="2200"/>
            <w:tcMar>
              <w:top w:type="dxa" w:w="60"/>
              <w:left w:type="dxa" w:w="80"/>
              <w:bottom w:type="dxa" w:w="60"/>
              <w:right w:type="dxa" w:w="80"/>
            </w:tcMar>
            <w:vAlign w:val="center"/>
          </w:tcPr>
          <w:p>
            <w:pPr>
              <w:jc w:val="left"/>
            </w:pPr>
            <w:r>
              <w:rPr>
                <w:b w:val="false"/>
                <w:bCs w:val="false"/>
                <w:color w:val="000000"/>
                <w:sz w:val="18"/>
                <w:szCs w:val="18"/>
              </w:rPr>
              <w:t xml:space="preserve">17,30,678</w:t>
            </w:r>
          </w:p>
        </w:tc>
        <w:tc>
          <w:tcPr>
            <w:tcW w:type="dxa" w:w="2000"/>
            <w:tcMar>
              <w:top w:type="dxa" w:w="60"/>
              <w:left w:type="dxa" w:w="80"/>
              <w:bottom w:type="dxa" w:w="60"/>
              <w:right w:type="dxa" w:w="80"/>
            </w:tcMar>
            <w:vAlign w:val="center"/>
          </w:tcPr>
          <w:p>
            <w:pPr>
              <w:jc w:val="left"/>
            </w:pPr>
            <w:r>
              <w:rPr>
                <w:b/>
                <w:bCs/>
                <w:color w:val="1E7B45"/>
                <w:sz w:val="18"/>
                <w:szCs w:val="18"/>
              </w:rPr>
              <w:t xml:space="preserve">3.09x</w:t>
            </w:r>
          </w:p>
        </w:tc>
        <w:tc>
          <w:tcPr>
            <w:tcW w:type="dxa" w:w="1360"/>
            <w:tcMar>
              <w:top w:type="dxa" w:w="60"/>
              <w:left w:type="dxa" w:w="80"/>
              <w:bottom w:type="dxa" w:w="60"/>
              <w:right w:type="dxa" w:w="80"/>
            </w:tcMar>
            <w:vAlign w:val="center"/>
          </w:tcPr>
          <w:p>
            <w:pPr>
              <w:jc w:val="left"/>
            </w:pPr>
            <w:r>
              <w:rPr>
                <w:b w:val="false"/>
                <w:bCs w:val="false"/>
                <w:color w:val="000000"/>
                <w:sz w:val="18"/>
                <w:szCs w:val="18"/>
              </w:rPr>
              <w:t xml:space="preserve">Peak</w:t>
            </w:r>
          </w:p>
        </w:tc>
      </w:tr>
      <w:tr>
        <w:tc>
          <w:tcPr>
            <w:tcW w:type="dxa" w:w="1600"/>
            <w:tcMar>
              <w:top w:type="dxa" w:w="60"/>
              <w:left w:type="dxa" w:w="80"/>
              <w:bottom w:type="dxa" w:w="60"/>
              <w:right w:type="dxa" w:w="80"/>
            </w:tcMar>
            <w:vAlign w:val="center"/>
          </w:tcPr>
          <w:p>
            <w:pPr>
              <w:jc w:val="left"/>
            </w:pPr>
            <w:r>
              <w:rPr>
                <w:b w:val="false"/>
                <w:bCs w:val="false"/>
                <w:color w:val="000000"/>
                <w:sz w:val="18"/>
                <w:szCs w:val="18"/>
              </w:rPr>
              <w:t xml:space="preserve">May 2026</w:t>
            </w:r>
          </w:p>
        </w:tc>
        <w:tc>
          <w:tcPr>
            <w:tcW w:type="dxa" w:w="2200"/>
            <w:tcMar>
              <w:top w:type="dxa" w:w="60"/>
              <w:left w:type="dxa" w:w="80"/>
              <w:bottom w:type="dxa" w:w="60"/>
              <w:right w:type="dxa" w:w="80"/>
            </w:tcMar>
            <w:vAlign w:val="center"/>
          </w:tcPr>
          <w:p>
            <w:pPr>
              <w:jc w:val="left"/>
            </w:pPr>
            <w:r>
              <w:rPr>
                <w:b w:val="false"/>
                <w:bCs w:val="false"/>
                <w:color w:val="000000"/>
                <w:sz w:val="18"/>
                <w:szCs w:val="18"/>
              </w:rPr>
              <w:t xml:space="preserve">6,30,960</w:t>
            </w:r>
          </w:p>
        </w:tc>
        <w:tc>
          <w:tcPr>
            <w:tcW w:type="dxa" w:w="2200"/>
            <w:tcMar>
              <w:top w:type="dxa" w:w="60"/>
              <w:left w:type="dxa" w:w="80"/>
              <w:bottom w:type="dxa" w:w="60"/>
              <w:right w:type="dxa" w:w="80"/>
            </w:tcMar>
            <w:vAlign w:val="center"/>
          </w:tcPr>
          <w:p>
            <w:pPr>
              <w:jc w:val="left"/>
            </w:pPr>
            <w:r>
              <w:rPr>
                <w:b w:val="false"/>
                <w:bCs w:val="false"/>
                <w:color w:val="000000"/>
                <w:sz w:val="18"/>
                <w:szCs w:val="18"/>
              </w:rPr>
              <w:t xml:space="preserve">17,14,225</w:t>
            </w:r>
          </w:p>
        </w:tc>
        <w:tc>
          <w:tcPr>
            <w:tcW w:type="dxa" w:w="2000"/>
            <w:tcMar>
              <w:top w:type="dxa" w:w="60"/>
              <w:left w:type="dxa" w:w="80"/>
              <w:bottom w:type="dxa" w:w="60"/>
              <w:right w:type="dxa" w:w="80"/>
            </w:tcMar>
            <w:vAlign w:val="center"/>
          </w:tcPr>
          <w:p>
            <w:pPr>
              <w:jc w:val="left"/>
            </w:pPr>
            <w:r>
              <w:rPr>
                <w:b w:val="false"/>
                <w:bCs w:val="false"/>
                <w:color w:val="000000"/>
                <w:sz w:val="18"/>
                <w:szCs w:val="18"/>
              </w:rPr>
              <w:t xml:space="preserve">2.72x</w:t>
            </w:r>
          </w:p>
        </w:tc>
        <w:tc>
          <w:tcPr>
            <w:tcW w:type="dxa" w:w="1360"/>
            <w:tcMar>
              <w:top w:type="dxa" w:w="60"/>
              <w:left w:type="dxa" w:w="80"/>
              <w:bottom w:type="dxa" w:w="60"/>
              <w:right w:type="dxa" w:w="80"/>
            </w:tcMar>
            <w:vAlign w:val="center"/>
          </w:tcPr>
          <w:p>
            <w:pPr>
              <w:jc w:val="left"/>
            </w:pPr>
            <w:r>
              <w:rPr>
                <w:b w:val="false"/>
                <w:bCs w:val="false"/>
                <w:color w:val="000000"/>
                <w:sz w:val="18"/>
                <w:szCs w:val="18"/>
              </w:rPr>
              <w:t xml:space="preserve">↓</w:t>
            </w:r>
          </w:p>
        </w:tc>
      </w:tr>
      <w:tr>
        <w:tc>
          <w:tcPr>
            <w:tcW w:type="dxa" w:w="1600"/>
            <w:tcMar>
              <w:top w:type="dxa" w:w="60"/>
              <w:left w:type="dxa" w:w="80"/>
              <w:bottom w:type="dxa" w:w="60"/>
              <w:right w:type="dxa" w:w="80"/>
            </w:tcMar>
            <w:vAlign w:val="center"/>
          </w:tcPr>
          <w:p>
            <w:pPr>
              <w:jc w:val="left"/>
            </w:pPr>
            <w:r>
              <w:rPr>
                <w:b w:val="false"/>
                <w:bCs w:val="false"/>
                <w:color w:val="000000"/>
                <w:sz w:val="18"/>
                <w:szCs w:val="18"/>
              </w:rPr>
              <w:t xml:space="preserve">Jun 2026</w:t>
            </w:r>
          </w:p>
        </w:tc>
        <w:tc>
          <w:tcPr>
            <w:tcW w:type="dxa" w:w="2200"/>
            <w:tcMar>
              <w:top w:type="dxa" w:w="60"/>
              <w:left w:type="dxa" w:w="80"/>
              <w:bottom w:type="dxa" w:w="60"/>
              <w:right w:type="dxa" w:w="80"/>
            </w:tcMar>
            <w:vAlign w:val="center"/>
          </w:tcPr>
          <w:p>
            <w:pPr>
              <w:jc w:val="left"/>
            </w:pPr>
            <w:r>
              <w:rPr>
                <w:b/>
                <w:bCs/>
                <w:color w:val="000000"/>
                <w:sz w:val="18"/>
                <w:szCs w:val="18"/>
              </w:rPr>
              <w:t xml:space="preserve">17,17,891</w:t>
            </w:r>
          </w:p>
        </w:tc>
        <w:tc>
          <w:tcPr>
            <w:tcW w:type="dxa" w:w="2200"/>
            <w:tcMar>
              <w:top w:type="dxa" w:w="60"/>
              <w:left w:type="dxa" w:w="80"/>
              <w:bottom w:type="dxa" w:w="60"/>
              <w:right w:type="dxa" w:w="80"/>
            </w:tcMar>
            <w:vAlign w:val="center"/>
          </w:tcPr>
          <w:p>
            <w:pPr>
              <w:jc w:val="left"/>
            </w:pPr>
            <w:r>
              <w:rPr>
                <w:b w:val="false"/>
                <w:bCs w:val="false"/>
                <w:color w:val="000000"/>
                <w:sz w:val="18"/>
                <w:szCs w:val="18"/>
              </w:rPr>
              <w:t xml:space="preserve">42,93,652</w:t>
            </w:r>
          </w:p>
        </w:tc>
        <w:tc>
          <w:tcPr>
            <w:tcW w:type="dxa" w:w="2000"/>
            <w:tcMar>
              <w:top w:type="dxa" w:w="60"/>
              <w:left w:type="dxa" w:w="80"/>
              <w:bottom w:type="dxa" w:w="60"/>
              <w:right w:type="dxa" w:w="80"/>
            </w:tcMar>
            <w:vAlign w:val="center"/>
          </w:tcPr>
          <w:p>
            <w:pPr>
              <w:jc w:val="left"/>
            </w:pPr>
            <w:r>
              <w:rPr>
                <w:b w:val="false"/>
                <w:bCs w:val="false"/>
                <w:color w:val="000000"/>
                <w:sz w:val="18"/>
                <w:szCs w:val="18"/>
              </w:rPr>
              <w:t xml:space="preserve">2.50x</w:t>
            </w:r>
          </w:p>
        </w:tc>
        <w:tc>
          <w:tcPr>
            <w:tcW w:type="dxa" w:w="1360"/>
            <w:tcMar>
              <w:top w:type="dxa" w:w="60"/>
              <w:left w:type="dxa" w:w="80"/>
              <w:bottom w:type="dxa" w:w="60"/>
              <w:right w:type="dxa" w:w="80"/>
            </w:tcMar>
            <w:vAlign w:val="center"/>
          </w:tcPr>
          <w:p>
            <w:pPr>
              <w:jc w:val="left"/>
            </w:pPr>
            <w:r>
              <w:rPr>
                <w:b w:val="false"/>
                <w:bCs w:val="false"/>
                <w:color w:val="000000"/>
                <w:sz w:val="18"/>
                <w:szCs w:val="18"/>
              </w:rPr>
              <w:t xml:space="preserve">Spend +172%, ROAS ↓</w:t>
            </w:r>
          </w:p>
        </w:tc>
      </w:tr>
      <w:tr>
        <w:tc>
          <w:tcPr>
            <w:tcW w:type="dxa" w:w="1600"/>
            <w:tcMar>
              <w:top w:type="dxa" w:w="60"/>
              <w:left w:type="dxa" w:w="80"/>
              <w:bottom w:type="dxa" w:w="60"/>
              <w:right w:type="dxa" w:w="80"/>
            </w:tcMar>
            <w:vAlign w:val="center"/>
          </w:tcPr>
          <w:p>
            <w:pPr>
              <w:jc w:val="left"/>
            </w:pPr>
            <w:r>
              <w:rPr>
                <w:b w:val="false"/>
                <w:bCs w:val="false"/>
                <w:color w:val="000000"/>
                <w:sz w:val="18"/>
                <w:szCs w:val="18"/>
              </w:rPr>
              <w:t xml:space="preserve">Jul 2026</w:t>
            </w:r>
          </w:p>
        </w:tc>
        <w:tc>
          <w:tcPr>
            <w:tcW w:type="dxa" w:w="2200"/>
            <w:tcMar>
              <w:top w:type="dxa" w:w="60"/>
              <w:left w:type="dxa" w:w="80"/>
              <w:bottom w:type="dxa" w:w="60"/>
              <w:right w:type="dxa" w:w="80"/>
            </w:tcMar>
            <w:vAlign w:val="center"/>
          </w:tcPr>
          <w:p>
            <w:pPr>
              <w:jc w:val="left"/>
            </w:pPr>
            <w:r>
              <w:rPr>
                <w:b w:val="false"/>
                <w:bCs w:val="false"/>
                <w:color w:val="000000"/>
                <w:sz w:val="18"/>
                <w:szCs w:val="18"/>
              </w:rPr>
              <w:t xml:space="preserve">14,42,923</w:t>
            </w:r>
          </w:p>
        </w:tc>
        <w:tc>
          <w:tcPr>
            <w:tcW w:type="dxa" w:w="2200"/>
            <w:tcMar>
              <w:top w:type="dxa" w:w="60"/>
              <w:left w:type="dxa" w:w="80"/>
              <w:bottom w:type="dxa" w:w="60"/>
              <w:right w:type="dxa" w:w="80"/>
            </w:tcMar>
            <w:vAlign w:val="center"/>
          </w:tcPr>
          <w:p>
            <w:pPr>
              <w:jc w:val="left"/>
            </w:pPr>
            <w:r>
              <w:rPr>
                <w:b w:val="false"/>
                <w:bCs w:val="false"/>
                <w:color w:val="000000"/>
                <w:sz w:val="18"/>
                <w:szCs w:val="18"/>
              </w:rPr>
              <w:t xml:space="preserve">27,94,412</w:t>
            </w:r>
          </w:p>
        </w:tc>
        <w:tc>
          <w:tcPr>
            <w:tcW w:type="dxa" w:w="2000"/>
            <w:tcMar>
              <w:top w:type="dxa" w:w="60"/>
              <w:left w:type="dxa" w:w="80"/>
              <w:bottom w:type="dxa" w:w="60"/>
              <w:right w:type="dxa" w:w="80"/>
            </w:tcMar>
            <w:vAlign w:val="center"/>
          </w:tcPr>
          <w:p>
            <w:pPr>
              <w:jc w:val="left"/>
            </w:pPr>
            <w:r>
              <w:rPr>
                <w:b w:val="false"/>
                <w:bCs w:val="false"/>
                <w:color w:val="C0392B"/>
                <w:sz w:val="18"/>
                <w:szCs w:val="18"/>
              </w:rPr>
              <w:t xml:space="preserve">1.94x</w:t>
            </w:r>
          </w:p>
        </w:tc>
        <w:tc>
          <w:tcPr>
            <w:tcW w:type="dxa" w:w="1360"/>
            <w:tcMar>
              <w:top w:type="dxa" w:w="60"/>
              <w:left w:type="dxa" w:w="80"/>
              <w:bottom w:type="dxa" w:w="60"/>
              <w:right w:type="dxa" w:w="80"/>
            </w:tcMar>
            <w:vAlign w:val="center"/>
          </w:tcPr>
          <w:p>
            <w:pPr>
              <w:jc w:val="left"/>
            </w:pPr>
            <w:r>
              <w:rPr>
                <w:b w:val="false"/>
                <w:bCs w:val="false"/>
                <w:color w:val="000000"/>
                <w:sz w:val="18"/>
                <w:szCs w:val="18"/>
              </w:rPr>
              <w:t xml:space="preserve">↓</w:t>
            </w:r>
          </w:p>
        </w:tc>
      </w:tr>
      <w:tr>
        <w:tc>
          <w:tcPr>
            <w:tcW w:type="dxa" w:w="1600"/>
            <w:tcMar>
              <w:top w:type="dxa" w:w="60"/>
              <w:left w:type="dxa" w:w="80"/>
              <w:bottom w:type="dxa" w:w="60"/>
              <w:right w:type="dxa" w:w="80"/>
            </w:tcMar>
            <w:vAlign w:val="center"/>
          </w:tcPr>
          <w:p>
            <w:pPr>
              <w:jc w:val="left"/>
            </w:pPr>
            <w:r>
              <w:rPr>
                <w:b w:val="false"/>
                <w:bCs w:val="false"/>
                <w:color w:val="000000"/>
                <w:sz w:val="18"/>
                <w:szCs w:val="18"/>
              </w:rPr>
              <w:t xml:space="preserve">Aug 2026</w:t>
            </w:r>
          </w:p>
        </w:tc>
        <w:tc>
          <w:tcPr>
            <w:tcW w:type="dxa" w:w="2200"/>
            <w:tcMar>
              <w:top w:type="dxa" w:w="60"/>
              <w:left w:type="dxa" w:w="80"/>
              <w:bottom w:type="dxa" w:w="60"/>
              <w:right w:type="dxa" w:w="80"/>
            </w:tcMar>
            <w:vAlign w:val="center"/>
          </w:tcPr>
          <w:p>
            <w:pPr>
              <w:jc w:val="left"/>
            </w:pPr>
            <w:r>
              <w:rPr>
                <w:b w:val="false"/>
                <w:bCs w:val="false"/>
                <w:color w:val="000000"/>
                <w:sz w:val="18"/>
                <w:szCs w:val="18"/>
              </w:rPr>
              <w:t xml:space="preserve">14,12,868</w:t>
            </w:r>
          </w:p>
        </w:tc>
        <w:tc>
          <w:tcPr>
            <w:tcW w:type="dxa" w:w="2200"/>
            <w:tcMar>
              <w:top w:type="dxa" w:w="60"/>
              <w:left w:type="dxa" w:w="80"/>
              <w:bottom w:type="dxa" w:w="60"/>
              <w:right w:type="dxa" w:w="80"/>
            </w:tcMar>
            <w:vAlign w:val="center"/>
          </w:tcPr>
          <w:p>
            <w:pPr>
              <w:jc w:val="left"/>
            </w:pPr>
            <w:r>
              <w:rPr>
                <w:b w:val="false"/>
                <w:bCs w:val="false"/>
                <w:color w:val="000000"/>
                <w:sz w:val="18"/>
                <w:szCs w:val="18"/>
              </w:rPr>
              <w:t xml:space="preserve">22,49,345</w:t>
            </w:r>
          </w:p>
        </w:tc>
        <w:tc>
          <w:tcPr>
            <w:tcW w:type="dxa" w:w="2000"/>
            <w:tcMar>
              <w:top w:type="dxa" w:w="60"/>
              <w:left w:type="dxa" w:w="80"/>
              <w:bottom w:type="dxa" w:w="60"/>
              <w:right w:type="dxa" w:w="80"/>
            </w:tcMar>
            <w:vAlign w:val="center"/>
          </w:tcPr>
          <w:p>
            <w:pPr>
              <w:jc w:val="left"/>
            </w:pPr>
            <w:r>
              <w:rPr>
                <w:b/>
                <w:bCs/>
                <w:color w:val="B03A2E"/>
                <w:sz w:val="18"/>
                <w:szCs w:val="18"/>
              </w:rPr>
              <w:t xml:space="preserve">1.59x</w:t>
            </w:r>
          </w:p>
        </w:tc>
        <w:tc>
          <w:tcPr>
            <w:tcW w:type="dxa" w:w="1360"/>
            <w:tcMar>
              <w:top w:type="dxa" w:w="60"/>
              <w:left w:type="dxa" w:w="80"/>
              <w:bottom w:type="dxa" w:w="60"/>
              <w:right w:type="dxa" w:w="80"/>
            </w:tcMar>
            <w:vAlign w:val="center"/>
          </w:tcPr>
          <w:p>
            <w:pPr>
              <w:jc w:val="left"/>
            </w:pPr>
            <w:r>
              <w:rPr>
                <w:b w:val="false"/>
                <w:bCs w:val="false"/>
                <w:color w:val="000000"/>
                <w:sz w:val="18"/>
                <w:szCs w:val="18"/>
              </w:rPr>
              <w:t xml:space="preserve">Trough</w:t>
            </w:r>
          </w:p>
        </w:tc>
      </w:tr>
    </w:tbl>
    <w:p>
      <w:pPr>
        <w:spacing w:after="150"/>
      </w:pPr>
      <w:r>
        <w:t xml:space="preserve">From its April peak (3.09x) to August (1.59x), blended platform ROAS has nearly halved. The inflection point is June, when total spend jumped 172% month-on-month (₹6.31L → ₹17.18L) — driven almost entirely by scaling the two largest Meta campaigns. Efficiency has declined every month since. This is the single clearest, most quantifiable signal in the dataset: the account scaled spend faster than it could scale demand, and has been paying a rising efficiency tax ever since.</w:t>
      </w:r>
    </w:p>
    <w:p>
      <w:pPr>
        <w:pStyle w:val="Heading2"/>
        <w:spacing w:after="150" w:before="300"/>
      </w:pPr>
      <w:r>
        <w:t xml:space="preserve">1.3 Business-level view: Shopify sales vs. ad spend</w:t>
      </w:r>
    </w:p>
    <w:p>
      <w:pPr>
        <w:spacing w:after="80"/>
      </w:pPr>
      <w:r>
        <w:rPr>
          <w:b/>
          <w:bCs/>
        </w:rPr>
        <w:t xml:space="preserve">Total Shopify net sales (6 months): </w:t>
      </w:r>
      <w:r>
        <w:t xml:space="preserve">₹23,002,774</w:t>
      </w:r>
    </w:p>
    <w:p>
      <w:pPr>
        <w:spacing w:after="80"/>
      </w:pPr>
      <w:r>
        <w:rPr>
          <w:b/>
          <w:bCs/>
        </w:rPr>
        <w:t xml:space="preserve">Total ad spend, Google + Meta (6 months): </w:t>
      </w:r>
      <w:r>
        <w:t xml:space="preserve">₹6,280,407</w:t>
      </w:r>
    </w:p>
    <w:p>
      <w:pPr>
        <w:spacing w:after="80"/>
      </w:pPr>
      <w:r>
        <w:rPr>
          <w:b/>
          <w:bCs/>
        </w:rPr>
        <w:t xml:space="preserve">Business-level blended ROAS: </w:t>
      </w:r>
      <w:r>
        <w:t xml:space="preserve">3.66x</w:t>
      </w:r>
    </w:p>
    <w:p>
      <w:pPr>
        <w:spacing w:after="80"/>
      </w:pPr>
      <w:r>
        <w:rPr>
          <w:b/>
          <w:bCs/>
        </w:rPr>
        <w:t xml:space="preserve">Ad-platform-attributed revenue (Google + Meta Conv. Value): </w:t>
      </w:r>
      <w:r>
        <w:t xml:space="preserve">₹13,447,134 (58% of net sales)</w:t>
      </w:r>
    </w:p>
    <w:p>
      <w:pPr>
        <w:spacing w:after="150"/>
      </w:pPr>
      <w:r>
        <w:t xml:space="preserve">Roughly 42% of Shopify net sales — about ₹9.56M — is not attributed to Google or Meta at all in the platform data, and Shopify's own traffic-source tagging only accounts for a small slice of orders (direct: ₹1.35L, email: ₹0.33L, organic social/other: well under ₹1L combined). This gap is very likely a mix of direct/repeat traffic, WhatsApp/influencer-driven sales, and imperfect pixel tracking — but it is not provable from this dataset. This is a finding, stated as a gap to investigate, not a claim about its cause.</w:t>
      </w:r>
    </w:p>
    <w:p>
      <w:pPr>
        <w:pStyle w:val="Heading2"/>
        <w:spacing w:after="150" w:before="300"/>
      </w:pPr>
      <w:r>
        <w:t xml:space="preserve">1.4 New vs. returning customers</w:t>
      </w:r>
    </w:p>
    <w:p>
      <w:pPr>
        <w:spacing w:after="80"/>
      </w:pPr>
      <w:r>
        <w:rPr>
          <w:b/>
          <w:bCs/>
        </w:rPr>
        <w:t xml:space="preserve">New customer orders: </w:t>
      </w:r>
      <w:r>
        <w:t xml:space="preserve">1,244 (79% of orders)</w:t>
      </w:r>
    </w:p>
    <w:p>
      <w:pPr>
        <w:spacing w:after="80"/>
      </w:pPr>
      <w:r>
        <w:rPr>
          <w:b/>
          <w:bCs/>
        </w:rPr>
        <w:t xml:space="preserve">Returning customer orders: </w:t>
      </w:r>
      <w:r>
        <w:t xml:space="preserve">335 (21% of orders)</w:t>
      </w:r>
    </w:p>
    <w:p>
      <w:pPr>
        <w:spacing w:after="80"/>
      </w:pPr>
      <w:r>
        <w:rPr>
          <w:b/>
          <w:bCs/>
        </w:rPr>
        <w:t xml:space="preserve">Blended AOV: </w:t>
      </w:r>
      <w:r>
        <w:t xml:space="preserve">₹14,568</w:t>
      </w:r>
    </w:p>
    <w:p>
      <w:pPr>
        <w:spacing w:after="150"/>
      </w:pPr>
      <w:r>
        <w:t xml:space="preserve">A 79/21 new-to-returning split is typical of an acquisition-led paid media strategy — but it also means retention/remarketing is a comparatively untapped growth lever, since almost 4 in 5 orders currently require fresh paid acquisition. This is developed further in Section 5.</w:t>
      </w:r>
    </w:p>
    <w:p>
      <w:pPr>
        <w:pStyle w:val="Heading2"/>
        <w:spacing w:after="150" w:before="300"/>
      </w:pPr>
      <w:r>
        <w:t xml:space="preserve">1.5 What is working</w:t>
      </w:r>
    </w:p>
    <w:p>
      <w:pPr>
        <w:pStyle w:val="ListParagraph"/>
        <w:numPr>
          <w:ilvl w:val="0"/>
          <w:numId w:val="1"/>
        </w:numPr>
        <w:spacing w:after="80"/>
      </w:pPr>
      <w:r>
        <w:t xml:space="preserve">Google Search and Shopping campaigns targeting India and international — all return between 4x and 12x ROAS on a combined ₹3.28L spend (see Section 2 for exact figures).</w:t>
      </w:r>
    </w:p>
    <w:p>
      <w:pPr>
        <w:pStyle w:val="ListParagraph"/>
        <w:numPr>
          <w:ilvl w:val="0"/>
          <w:numId w:val="1"/>
        </w:numPr>
        <w:spacing w:after="80"/>
      </w:pPr>
      <w:r>
        <w:t xml:space="preserve">Meta's US-focused conversion campaign, and specifically its “Above 15K BAU” carousel creative, is the one major asset still improving as it scales (ROAS rose from 1.00x in June to 3.19x in July, holding at 2.63x in August) — the opposite pattern of the account's two biggest campaigns.</w:t>
      </w:r>
    </w:p>
    <w:p>
      <w:pPr>
        <w:pStyle w:val="ListParagraph"/>
        <w:numPr>
          <w:ilvl w:val="0"/>
          <w:numId w:val="1"/>
        </w:numPr>
        <w:spacing w:after="80"/>
      </w:pPr>
      <w:r>
        <w:t xml:space="preserve">Meta's “TOF Sales India | Open” broad-audience campaign holds a healthy 2.12x ROAS at meaningful volume (₹3.69L spend) without the fatigue pattern seen elsewhere.</w:t>
      </w:r>
    </w:p>
    <w:p>
      <w:pPr>
        <w:pStyle w:val="Heading2"/>
        <w:spacing w:after="150" w:before="300"/>
      </w:pPr>
      <w:r>
        <w:t xml:space="preserve">1.6 What is underperforming or limiting growth</w:t>
      </w:r>
    </w:p>
    <w:p>
      <w:pPr>
        <w:pStyle w:val="ListParagraph"/>
        <w:numPr>
          <w:ilvl w:val="0"/>
          <w:numId w:val="1"/>
        </w:numPr>
        <w:spacing w:after="80"/>
      </w:pPr>
      <w:r>
        <w:t xml:space="preserve">The two largest Meta campaigns (46% of total spend) show clear diminishing returns as spend scaled — detailed in Section 2.</w:t>
      </w:r>
    </w:p>
    <w:p>
      <w:pPr>
        <w:pStyle w:val="ListParagraph"/>
        <w:numPr>
          <w:ilvl w:val="0"/>
          <w:numId w:val="1"/>
        </w:numPr>
        <w:spacing w:after="80"/>
      </w:pPr>
      <w:r>
        <w:t xml:space="preserve">Roughly ₹1.42L across 12 Meta and 3 Google campaigns/ad groups has generated zero recorded conversions — pure waste at current settings.</w:t>
      </w:r>
    </w:p>
    <w:p>
      <w:pPr>
        <w:pStyle w:val="ListParagraph"/>
        <w:numPr>
          <w:ilvl w:val="0"/>
          <w:numId w:val="1"/>
        </w:numPr>
        <w:spacing w:after="80"/>
      </w:pPr>
      <w:r>
        <w:t xml:space="preserve">Several country-specific Meta campaigns (UK, broader INT) sit below 1.2x ROAS — spend not justified by return.</w:t>
      </w:r>
    </w:p>
    <w:p>
      <w:pPr>
        <w:pStyle w:val="ListParagraph"/>
        <w:numPr>
          <w:ilvl w:val="0"/>
          <w:numId w:val="1"/>
        </w:numPr>
        <w:spacing w:after="80"/>
      </w:pPr>
      <w:r>
        <w:t xml:space="preserve">The account has no meaningful retention/remargeting motion at scale relative to the size of the new-customer base being acquired.</w:t>
      </w:r>
    </w:p>
    <w:p>
      <w:pPr>
        <w:sectPr>
          <w:headerReference w:type="default" r:id="rId9"/>
          <w:footerReference w:type="default" r:id="rId10"/>
          <w:pgSz w:w="12240" w:h="15840" w:orient="portrait"/>
          <w:pgMar w:top="720" w:right="720" w:bottom="720" w:left="720" w:header="708" w:footer="708" w:gutter="0"/>
          <w:pgNumType/>
          <w:docGrid w:linePitch="360"/>
        </w:sectPr>
      </w:pPr>
    </w:p>
    <w:p>
      <w:pPr>
        <w:pStyle w:val="Heading1"/>
        <w:spacing w:after="200" w:before="400"/>
      </w:pPr>
      <w:r>
        <w:t xml:space="preserve">2. Performance Audit — Campaign → Ad Set → Ad</w:t>
      </w:r>
    </w:p>
    <w:p>
      <w:pPr>
        <w:spacing w:after="150"/>
      </w:pPr>
      <w:r>
        <w:t xml:space="preserve">Thresholds used throughout this section: “winner” = ROAS ≥ 2.0x with meaningful spend (&gt;₹20K) and stable/improving trend; “loser” = ROAS &lt; 1.2x or a clearly declining trend at scale; “zero-return” = recorded conversions of 0 despite live spend.</w:t>
      </w:r>
    </w:p>
    <w:p>
      <w:pPr>
        <w:pStyle w:val="Heading2"/>
        <w:spacing w:after="150" w:before="300"/>
      </w:pPr>
      <w:r>
        <w:t xml:space="preserve">2.1 Campaign level</w:t>
      </w:r>
    </w:p>
    <w:p>
      <w:pPr>
        <w:spacing w:after="100" w:before="200"/>
      </w:pPr>
      <w:r>
        <w:rPr>
          <w:b/>
          <w:bCs/>
          <w:color w:val="1F2A44"/>
          <w:sz w:val="22"/>
          <w:szCs w:val="22"/>
        </w:rPr>
        <w:t xml:space="preserve">Google Ads (9 campaigns, ₹3.98L total spend)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1200"/>
        <w:gridCol w:w="2360"/>
      </w:tblGrid>
      <w:tr>
        <w:trPr>
          <w:tblHeader/>
        </w:trPr>
        <w:tc>
          <w:tcPr>
            <w:tcW w:type="dxa" w:w="4200"/>
            <w:shd w:fill="1F2A44" w:val="clear"/>
            <w:tcMar>
              <w:top w:type="dxa" w:w="60"/>
              <w:left w:type="dxa" w:w="80"/>
              <w:bottom w:type="dxa" w:w="60"/>
              <w:right w:type="dxa" w:w="80"/>
            </w:tcMar>
            <w:vAlign w:val="center"/>
          </w:tcPr>
          <w:p>
            <w:pPr>
              <w:jc w:val="left"/>
            </w:pPr>
            <w:r>
              <w:rPr>
                <w:b/>
                <w:bCs/>
                <w:color w:val="FFFFFF"/>
                <w:sz w:val="18"/>
                <w:szCs w:val="18"/>
              </w:rPr>
              <w:t xml:space="preserve">Campaign</w:t>
            </w:r>
          </w:p>
        </w:tc>
        <w:tc>
          <w:tcPr>
            <w:tcW w:type="dxa" w:w="1600"/>
            <w:shd w:fill="1F2A44" w:val="clear"/>
            <w:tcMar>
              <w:top w:type="dxa" w:w="60"/>
              <w:left w:type="dxa" w:w="80"/>
              <w:bottom w:type="dxa" w:w="60"/>
              <w:right w:type="dxa" w:w="80"/>
            </w:tcMar>
            <w:vAlign w:val="center"/>
          </w:tcPr>
          <w:p>
            <w:pPr>
              <w:jc w:val="left"/>
            </w:pPr>
            <w:r>
              <w:rPr>
                <w:b/>
                <w:bCs/>
                <w:color w:val="FFFFFF"/>
                <w:sz w:val="18"/>
                <w:szCs w:val="18"/>
              </w:rPr>
              <w:t xml:space="preserve">Spend</w:t>
            </w:r>
          </w:p>
        </w:tc>
        <w:tc>
          <w:tcPr>
            <w:tcW w:type="dxa" w:w="1200"/>
            <w:shd w:fill="1F2A44" w:val="clear"/>
            <w:tcMar>
              <w:top w:type="dxa" w:w="60"/>
              <w:left w:type="dxa" w:w="80"/>
              <w:bottom w:type="dxa" w:w="60"/>
              <w:right w:type="dxa" w:w="80"/>
            </w:tcMar>
            <w:vAlign w:val="center"/>
          </w:tcPr>
          <w:p>
            <w:pPr>
              <w:jc w:val="left"/>
            </w:pPr>
            <w:r>
              <w:rPr>
                <w:b/>
                <w:bCs/>
                <w:color w:val="FFFFFF"/>
                <w:sz w:val="18"/>
                <w:szCs w:val="18"/>
              </w:rPr>
              <w:t xml:space="preserve">ROAS</w:t>
            </w:r>
          </w:p>
        </w:tc>
        <w:tc>
          <w:tcPr>
            <w:tcW w:type="dxa" w:w="2360"/>
            <w:shd w:fill="1F2A44" w:val="clear"/>
            <w:tcMar>
              <w:top w:type="dxa" w:w="60"/>
              <w:left w:type="dxa" w:w="80"/>
              <w:bottom w:type="dxa" w:w="60"/>
              <w:right w:type="dxa" w:w="80"/>
            </w:tcMar>
            <w:vAlign w:val="center"/>
          </w:tcPr>
          <w:p>
            <w:pPr>
              <w:jc w:val="left"/>
            </w:pPr>
            <w:r>
              <w:rPr>
                <w:b/>
                <w:bCs/>
                <w:color w:val="FFFFFF"/>
                <w:sz w:val="18"/>
                <w:szCs w:val="18"/>
              </w:rPr>
              <w:t xml:space="preserve">Call</w:t>
            </w:r>
          </w:p>
        </w:tc>
      </w:tr>
      <w:tr>
        <w:tc>
          <w:tcPr>
            <w:tcW w:type="dxa" w:w="4200"/>
            <w:tcMar>
              <w:top w:type="dxa" w:w="60"/>
              <w:left w:type="dxa" w:w="80"/>
              <w:bottom w:type="dxa" w:w="60"/>
              <w:right w:type="dxa" w:w="80"/>
            </w:tcMar>
            <w:vAlign w:val="center"/>
          </w:tcPr>
          <w:p>
            <w:pPr>
              <w:jc w:val="left"/>
            </w:pPr>
            <w:r>
              <w:rPr>
                <w:b w:val="false"/>
                <w:bCs w:val="false"/>
                <w:color w:val="000000"/>
                <w:sz w:val="18"/>
                <w:szCs w:val="18"/>
              </w:rPr>
              <w:t xml:space="preserve">XYZ LuxuryP_Search_India-12/12</w:t>
            </w:r>
          </w:p>
        </w:tc>
        <w:tc>
          <w:tcPr>
            <w:tcW w:type="dxa" w:w="1600"/>
            <w:tcMar>
              <w:top w:type="dxa" w:w="60"/>
              <w:left w:type="dxa" w:w="80"/>
              <w:bottom w:type="dxa" w:w="60"/>
              <w:right w:type="dxa" w:w="80"/>
            </w:tcMar>
            <w:vAlign w:val="center"/>
          </w:tcPr>
          <w:p>
            <w:pPr>
              <w:jc w:val="left"/>
            </w:pPr>
            <w:r>
              <w:rPr>
                <w:b w:val="false"/>
                <w:bCs w:val="false"/>
                <w:color w:val="000000"/>
                <w:sz w:val="18"/>
                <w:szCs w:val="18"/>
              </w:rPr>
              <w:t xml:space="preserve">71,651</w:t>
            </w:r>
          </w:p>
        </w:tc>
        <w:tc>
          <w:tcPr>
            <w:tcW w:type="dxa" w:w="1200"/>
            <w:tcMar>
              <w:top w:type="dxa" w:w="60"/>
              <w:left w:type="dxa" w:w="80"/>
              <w:bottom w:type="dxa" w:w="60"/>
              <w:right w:type="dxa" w:w="80"/>
            </w:tcMar>
            <w:vAlign w:val="center"/>
          </w:tcPr>
          <w:p>
            <w:pPr>
              <w:jc w:val="left"/>
            </w:pPr>
            <w:r>
              <w:rPr>
                <w:b/>
                <w:bCs/>
                <w:color w:val="1E7B45"/>
                <w:sz w:val="18"/>
                <w:szCs w:val="18"/>
              </w:rPr>
              <w:t xml:space="preserve">12.08x</w:t>
            </w:r>
          </w:p>
        </w:tc>
        <w:tc>
          <w:tcPr>
            <w:tcW w:type="dxa" w:w="2360"/>
            <w:tcMar>
              <w:top w:type="dxa" w:w="60"/>
              <w:left w:type="dxa" w:w="80"/>
              <w:bottom w:type="dxa" w:w="60"/>
              <w:right w:type="dxa" w:w="80"/>
            </w:tcMar>
            <w:vAlign w:val="center"/>
          </w:tcPr>
          <w:p>
            <w:pPr>
              <w:jc w:val="left"/>
            </w:pPr>
            <w:r>
              <w:rPr>
                <w:b w:val="false"/>
                <w:bCs w:val="false"/>
                <w:color w:val="000000"/>
                <w:sz w:val="18"/>
                <w:szCs w:val="18"/>
              </w:rPr>
              <w:t xml:space="preserve">Winner — scale</w:t>
            </w:r>
          </w:p>
        </w:tc>
      </w:tr>
      <w:tr>
        <w:tc>
          <w:tcPr>
            <w:tcW w:type="dxa" w:w="4200"/>
            <w:tcMar>
              <w:top w:type="dxa" w:w="60"/>
              <w:left w:type="dxa" w:w="80"/>
              <w:bottom w:type="dxa" w:w="60"/>
              <w:right w:type="dxa" w:w="80"/>
            </w:tcMar>
            <w:vAlign w:val="center"/>
          </w:tcPr>
          <w:p>
            <w:pPr>
              <w:jc w:val="left"/>
            </w:pPr>
            <w:r>
              <w:rPr>
                <w:b w:val="false"/>
                <w:bCs w:val="false"/>
                <w:color w:val="000000"/>
                <w:sz w:val="18"/>
                <w:szCs w:val="18"/>
              </w:rPr>
              <w:t xml:space="preserve">XYZ LuxuryP_Search_INT</w:t>
            </w:r>
          </w:p>
        </w:tc>
        <w:tc>
          <w:tcPr>
            <w:tcW w:type="dxa" w:w="1600"/>
            <w:tcMar>
              <w:top w:type="dxa" w:w="60"/>
              <w:left w:type="dxa" w:w="80"/>
              <w:bottom w:type="dxa" w:w="60"/>
              <w:right w:type="dxa" w:w="80"/>
            </w:tcMar>
            <w:vAlign w:val="center"/>
          </w:tcPr>
          <w:p>
            <w:pPr>
              <w:jc w:val="left"/>
            </w:pPr>
            <w:r>
              <w:rPr>
                <w:b w:val="false"/>
                <w:bCs w:val="false"/>
                <w:color w:val="000000"/>
                <w:sz w:val="18"/>
                <w:szCs w:val="18"/>
              </w:rPr>
              <w:t xml:space="preserve">57,979</w:t>
            </w:r>
          </w:p>
        </w:tc>
        <w:tc>
          <w:tcPr>
            <w:tcW w:type="dxa" w:w="1200"/>
            <w:tcMar>
              <w:top w:type="dxa" w:w="60"/>
              <w:left w:type="dxa" w:w="80"/>
              <w:bottom w:type="dxa" w:w="60"/>
              <w:right w:type="dxa" w:w="80"/>
            </w:tcMar>
            <w:vAlign w:val="center"/>
          </w:tcPr>
          <w:p>
            <w:pPr>
              <w:jc w:val="left"/>
            </w:pPr>
            <w:r>
              <w:rPr>
                <w:b/>
                <w:bCs/>
                <w:color w:val="1E7B45"/>
                <w:sz w:val="18"/>
                <w:szCs w:val="18"/>
              </w:rPr>
              <w:t xml:space="preserve">9.37x</w:t>
            </w:r>
          </w:p>
        </w:tc>
        <w:tc>
          <w:tcPr>
            <w:tcW w:type="dxa" w:w="2360"/>
            <w:tcMar>
              <w:top w:type="dxa" w:w="60"/>
              <w:left w:type="dxa" w:w="80"/>
              <w:bottom w:type="dxa" w:w="60"/>
              <w:right w:type="dxa" w:w="80"/>
            </w:tcMar>
            <w:vAlign w:val="center"/>
          </w:tcPr>
          <w:p>
            <w:pPr>
              <w:jc w:val="left"/>
            </w:pPr>
            <w:r>
              <w:rPr>
                <w:b w:val="false"/>
                <w:bCs w:val="false"/>
                <w:color w:val="000000"/>
                <w:sz w:val="18"/>
                <w:szCs w:val="18"/>
              </w:rPr>
              <w:t xml:space="preserve">Winner — scale</w:t>
            </w:r>
          </w:p>
        </w:tc>
      </w:tr>
      <w:tr>
        <w:tc>
          <w:tcPr>
            <w:tcW w:type="dxa" w:w="4200"/>
            <w:tcMar>
              <w:top w:type="dxa" w:w="60"/>
              <w:left w:type="dxa" w:w="80"/>
              <w:bottom w:type="dxa" w:w="60"/>
              <w:right w:type="dxa" w:w="80"/>
            </w:tcMar>
            <w:vAlign w:val="center"/>
          </w:tcPr>
          <w:p>
            <w:pPr>
              <w:jc w:val="left"/>
            </w:pPr>
            <w:r>
              <w:rPr>
                <w:b w:val="false"/>
                <w:bCs w:val="false"/>
                <w:color w:val="000000"/>
                <w:sz w:val="18"/>
                <w:szCs w:val="18"/>
              </w:rPr>
              <w:t xml:space="preserve">P.max_HP_EOSS_Ind</w:t>
            </w:r>
          </w:p>
        </w:tc>
        <w:tc>
          <w:tcPr>
            <w:tcW w:type="dxa" w:w="1600"/>
            <w:tcMar>
              <w:top w:type="dxa" w:w="60"/>
              <w:left w:type="dxa" w:w="80"/>
              <w:bottom w:type="dxa" w:w="60"/>
              <w:right w:type="dxa" w:w="80"/>
            </w:tcMar>
            <w:vAlign w:val="center"/>
          </w:tcPr>
          <w:p>
            <w:pPr>
              <w:jc w:val="left"/>
            </w:pPr>
            <w:r>
              <w:rPr>
                <w:b w:val="false"/>
                <w:bCs w:val="false"/>
                <w:color w:val="000000"/>
                <w:sz w:val="18"/>
                <w:szCs w:val="18"/>
              </w:rPr>
              <w:t xml:space="preserve">90,985</w:t>
            </w:r>
          </w:p>
        </w:tc>
        <w:tc>
          <w:tcPr>
            <w:tcW w:type="dxa" w:w="1200"/>
            <w:tcMar>
              <w:top w:type="dxa" w:w="60"/>
              <w:left w:type="dxa" w:w="80"/>
              <w:bottom w:type="dxa" w:w="60"/>
              <w:right w:type="dxa" w:w="80"/>
            </w:tcMar>
            <w:vAlign w:val="center"/>
          </w:tcPr>
          <w:p>
            <w:pPr>
              <w:jc w:val="left"/>
            </w:pPr>
            <w:r>
              <w:rPr>
                <w:b/>
                <w:bCs/>
                <w:color w:val="1E7B45"/>
                <w:sz w:val="18"/>
                <w:szCs w:val="18"/>
              </w:rPr>
              <w:t xml:space="preserve">6.40x</w:t>
            </w:r>
          </w:p>
        </w:tc>
        <w:tc>
          <w:tcPr>
            <w:tcW w:type="dxa" w:w="2360"/>
            <w:tcMar>
              <w:top w:type="dxa" w:w="60"/>
              <w:left w:type="dxa" w:w="80"/>
              <w:bottom w:type="dxa" w:w="60"/>
              <w:right w:type="dxa" w:w="80"/>
            </w:tcMar>
            <w:vAlign w:val="center"/>
          </w:tcPr>
          <w:p>
            <w:pPr>
              <w:jc w:val="left"/>
            </w:pPr>
            <w:r>
              <w:rPr>
                <w:b w:val="false"/>
                <w:bCs w:val="false"/>
                <w:color w:val="000000"/>
                <w:sz w:val="18"/>
                <w:szCs w:val="18"/>
              </w:rPr>
              <w:t xml:space="preserve">Winner — scale</w:t>
            </w:r>
          </w:p>
        </w:tc>
      </w:tr>
      <w:tr>
        <w:tc>
          <w:tcPr>
            <w:tcW w:type="dxa" w:w="4200"/>
            <w:tcMar>
              <w:top w:type="dxa" w:w="60"/>
              <w:left w:type="dxa" w:w="80"/>
              <w:bottom w:type="dxa" w:w="60"/>
              <w:right w:type="dxa" w:w="80"/>
            </w:tcMar>
            <w:vAlign w:val="center"/>
          </w:tcPr>
          <w:p>
            <w:pPr>
              <w:jc w:val="left"/>
            </w:pPr>
            <w:r>
              <w:rPr>
                <w:b w:val="false"/>
                <w:bCs w:val="false"/>
                <w:color w:val="000000"/>
                <w:sz w:val="18"/>
                <w:szCs w:val="18"/>
              </w:rPr>
              <w:t xml:space="preserve">Performance Max_Listing_INTL</w:t>
            </w:r>
          </w:p>
        </w:tc>
        <w:tc>
          <w:tcPr>
            <w:tcW w:type="dxa" w:w="1600"/>
            <w:tcMar>
              <w:top w:type="dxa" w:w="60"/>
              <w:left w:type="dxa" w:w="80"/>
              <w:bottom w:type="dxa" w:w="60"/>
              <w:right w:type="dxa" w:w="80"/>
            </w:tcMar>
            <w:vAlign w:val="center"/>
          </w:tcPr>
          <w:p>
            <w:pPr>
              <w:jc w:val="left"/>
            </w:pPr>
            <w:r>
              <w:rPr>
                <w:b w:val="false"/>
                <w:bCs w:val="false"/>
                <w:color w:val="000000"/>
                <w:sz w:val="18"/>
                <w:szCs w:val="18"/>
              </w:rPr>
              <w:t xml:space="preserve">52,520</w:t>
            </w:r>
          </w:p>
        </w:tc>
        <w:tc>
          <w:tcPr>
            <w:tcW w:type="dxa" w:w="1200"/>
            <w:tcMar>
              <w:top w:type="dxa" w:w="60"/>
              <w:left w:type="dxa" w:w="80"/>
              <w:bottom w:type="dxa" w:w="60"/>
              <w:right w:type="dxa" w:w="80"/>
            </w:tcMar>
            <w:vAlign w:val="center"/>
          </w:tcPr>
          <w:p>
            <w:pPr>
              <w:jc w:val="left"/>
            </w:pPr>
            <w:r>
              <w:rPr>
                <w:b w:val="false"/>
                <w:bCs w:val="false"/>
                <w:color w:val="1E7B45"/>
                <w:sz w:val="18"/>
                <w:szCs w:val="18"/>
              </w:rPr>
              <w:t xml:space="preserve">4.06x</w:t>
            </w:r>
          </w:p>
        </w:tc>
        <w:tc>
          <w:tcPr>
            <w:tcW w:type="dxa" w:w="2360"/>
            <w:tcMar>
              <w:top w:type="dxa" w:w="60"/>
              <w:left w:type="dxa" w:w="80"/>
              <w:bottom w:type="dxa" w:w="60"/>
              <w:right w:type="dxa" w:w="80"/>
            </w:tcMar>
            <w:vAlign w:val="center"/>
          </w:tcPr>
          <w:p>
            <w:pPr>
              <w:jc w:val="left"/>
            </w:pPr>
            <w:r>
              <w:rPr>
                <w:b w:val="false"/>
                <w:bCs w:val="false"/>
                <w:color w:val="000000"/>
                <w:sz w:val="18"/>
                <w:szCs w:val="18"/>
              </w:rPr>
              <w:t xml:space="preserve">Solid — maintain/scale</w:t>
            </w:r>
          </w:p>
        </w:tc>
      </w:tr>
      <w:tr>
        <w:tc>
          <w:tcPr>
            <w:tcW w:type="dxa" w:w="4200"/>
            <w:tcMar>
              <w:top w:type="dxa" w:w="60"/>
              <w:left w:type="dxa" w:w="80"/>
              <w:bottom w:type="dxa" w:w="60"/>
              <w:right w:type="dxa" w:w="80"/>
            </w:tcMar>
            <w:vAlign w:val="center"/>
          </w:tcPr>
          <w:p>
            <w:pPr>
              <w:jc w:val="left"/>
            </w:pPr>
            <w:r>
              <w:rPr>
                <w:b w:val="false"/>
                <w:bCs w:val="false"/>
                <w:color w:val="000000"/>
                <w:sz w:val="18"/>
                <w:szCs w:val="18"/>
              </w:rPr>
              <w:t xml:space="preserve">Performance Max_Listing_IND</w:t>
            </w:r>
          </w:p>
        </w:tc>
        <w:tc>
          <w:tcPr>
            <w:tcW w:type="dxa" w:w="1600"/>
            <w:tcMar>
              <w:top w:type="dxa" w:w="60"/>
              <w:left w:type="dxa" w:w="80"/>
              <w:bottom w:type="dxa" w:w="60"/>
              <w:right w:type="dxa" w:w="80"/>
            </w:tcMar>
            <w:vAlign w:val="center"/>
          </w:tcPr>
          <w:p>
            <w:pPr>
              <w:jc w:val="left"/>
            </w:pPr>
            <w:r>
              <w:rPr>
                <w:b w:val="false"/>
                <w:bCs w:val="false"/>
                <w:color w:val="000000"/>
                <w:sz w:val="18"/>
                <w:szCs w:val="18"/>
              </w:rPr>
              <w:t xml:space="preserve">48,571</w:t>
            </w:r>
          </w:p>
        </w:tc>
        <w:tc>
          <w:tcPr>
            <w:tcW w:type="dxa" w:w="1200"/>
            <w:tcMar>
              <w:top w:type="dxa" w:w="60"/>
              <w:left w:type="dxa" w:w="80"/>
              <w:bottom w:type="dxa" w:w="60"/>
              <w:right w:type="dxa" w:w="80"/>
            </w:tcMar>
            <w:vAlign w:val="center"/>
          </w:tcPr>
          <w:p>
            <w:pPr>
              <w:jc w:val="left"/>
            </w:pPr>
            <w:r>
              <w:rPr>
                <w:b w:val="false"/>
                <w:bCs w:val="false"/>
                <w:color w:val="000000"/>
                <w:sz w:val="18"/>
                <w:szCs w:val="18"/>
              </w:rPr>
              <w:t xml:space="preserve">2.37x</w:t>
            </w:r>
          </w:p>
        </w:tc>
        <w:tc>
          <w:tcPr>
            <w:tcW w:type="dxa" w:w="2360"/>
            <w:tcMar>
              <w:top w:type="dxa" w:w="60"/>
              <w:left w:type="dxa" w:w="80"/>
              <w:bottom w:type="dxa" w:w="60"/>
              <w:right w:type="dxa" w:w="80"/>
            </w:tcMar>
            <w:vAlign w:val="center"/>
          </w:tcPr>
          <w:p>
            <w:pPr>
              <w:jc w:val="left"/>
            </w:pPr>
            <w:r>
              <w:rPr>
                <w:b w:val="false"/>
                <w:bCs w:val="false"/>
                <w:color w:val="000000"/>
                <w:sz w:val="18"/>
                <w:szCs w:val="18"/>
              </w:rPr>
              <w:t xml:space="preserve">OK — maintain</w:t>
            </w:r>
          </w:p>
        </w:tc>
      </w:tr>
      <w:tr>
        <w:tc>
          <w:tcPr>
            <w:tcW w:type="dxa" w:w="4200"/>
            <w:tcMar>
              <w:top w:type="dxa" w:w="60"/>
              <w:left w:type="dxa" w:w="80"/>
              <w:bottom w:type="dxa" w:w="60"/>
              <w:right w:type="dxa" w:w="80"/>
            </w:tcMar>
            <w:vAlign w:val="center"/>
          </w:tcPr>
          <w:p>
            <w:pPr>
              <w:jc w:val="left"/>
            </w:pPr>
            <w:r>
              <w:rPr>
                <w:b w:val="false"/>
                <w:bCs w:val="false"/>
                <w:color w:val="000000"/>
                <w:sz w:val="18"/>
                <w:szCs w:val="18"/>
              </w:rPr>
              <w:t xml:space="preserve">Shopping Ads | All Product | EOSS</w:t>
            </w:r>
          </w:p>
        </w:tc>
        <w:tc>
          <w:tcPr>
            <w:tcW w:type="dxa" w:w="1600"/>
            <w:tcMar>
              <w:top w:type="dxa" w:w="60"/>
              <w:left w:type="dxa" w:w="80"/>
              <w:bottom w:type="dxa" w:w="60"/>
              <w:right w:type="dxa" w:w="80"/>
            </w:tcMar>
            <w:vAlign w:val="center"/>
          </w:tcPr>
          <w:p>
            <w:pPr>
              <w:jc w:val="left"/>
            </w:pPr>
            <w:r>
              <w:rPr>
                <w:b w:val="false"/>
                <w:bCs w:val="false"/>
                <w:color w:val="000000"/>
                <w:sz w:val="18"/>
                <w:szCs w:val="18"/>
              </w:rPr>
              <w:t xml:space="preserve">14,211</w:t>
            </w:r>
          </w:p>
        </w:tc>
        <w:tc>
          <w:tcPr>
            <w:tcW w:type="dxa" w:w="1200"/>
            <w:tcMar>
              <w:top w:type="dxa" w:w="60"/>
              <w:left w:type="dxa" w:w="80"/>
              <w:bottom w:type="dxa" w:w="60"/>
              <w:right w:type="dxa" w:w="80"/>
            </w:tcMar>
            <w:vAlign w:val="center"/>
          </w:tcPr>
          <w:p>
            <w:pPr>
              <w:jc w:val="left"/>
            </w:pPr>
            <w:r>
              <w:rPr>
                <w:b w:val="false"/>
                <w:bCs w:val="false"/>
                <w:color w:val="C0392B"/>
                <w:sz w:val="18"/>
                <w:szCs w:val="18"/>
              </w:rPr>
              <w:t xml:space="preserve">0.62x</w:t>
            </w:r>
          </w:p>
        </w:tc>
        <w:tc>
          <w:tcPr>
            <w:tcW w:type="dxa" w:w="2360"/>
            <w:tcMar>
              <w:top w:type="dxa" w:w="60"/>
              <w:left w:type="dxa" w:w="80"/>
              <w:bottom w:type="dxa" w:w="60"/>
              <w:right w:type="dxa" w:w="80"/>
            </w:tcMar>
            <w:vAlign w:val="center"/>
          </w:tcPr>
          <w:p>
            <w:pPr>
              <w:jc w:val="left"/>
            </w:pPr>
            <w:r>
              <w:rPr>
                <w:b w:val="false"/>
                <w:bCs w:val="false"/>
                <w:color w:val="000000"/>
                <w:sz w:val="18"/>
                <w:szCs w:val="18"/>
              </w:rPr>
              <w:t xml:space="preserve">Loser — reduce</w:t>
            </w:r>
          </w:p>
        </w:tc>
      </w:tr>
      <w:tr>
        <w:tc>
          <w:tcPr>
            <w:tcW w:type="dxa" w:w="4200"/>
            <w:tcMar>
              <w:top w:type="dxa" w:w="60"/>
              <w:left w:type="dxa" w:w="80"/>
              <w:bottom w:type="dxa" w:w="60"/>
              <w:right w:type="dxa" w:w="80"/>
            </w:tcMar>
            <w:vAlign w:val="center"/>
          </w:tcPr>
          <w:p>
            <w:pPr>
              <w:jc w:val="left"/>
            </w:pPr>
            <w:r>
              <w:rPr>
                <w:b w:val="false"/>
                <w:bCs w:val="false"/>
                <w:color w:val="000000"/>
                <w:sz w:val="18"/>
                <w:szCs w:val="18"/>
              </w:rPr>
              <w:t xml:space="preserve">XYZ LuxuryP_Pmax_India_03-02-2025</w:t>
            </w:r>
          </w:p>
        </w:tc>
        <w:tc>
          <w:tcPr>
            <w:tcW w:type="dxa" w:w="1600"/>
            <w:tcMar>
              <w:top w:type="dxa" w:w="60"/>
              <w:left w:type="dxa" w:w="80"/>
              <w:bottom w:type="dxa" w:w="60"/>
              <w:right w:type="dxa" w:w="80"/>
            </w:tcMar>
            <w:vAlign w:val="center"/>
          </w:tcPr>
          <w:p>
            <w:pPr>
              <w:jc w:val="left"/>
            </w:pPr>
            <w:r>
              <w:rPr>
                <w:b w:val="false"/>
                <w:bCs w:val="false"/>
                <w:color w:val="000000"/>
                <w:sz w:val="18"/>
                <w:szCs w:val="18"/>
              </w:rPr>
              <w:t xml:space="preserve">35,131</w:t>
            </w:r>
          </w:p>
        </w:tc>
        <w:tc>
          <w:tcPr>
            <w:tcW w:type="dxa" w:w="1200"/>
            <w:tcMar>
              <w:top w:type="dxa" w:w="60"/>
              <w:left w:type="dxa" w:w="80"/>
              <w:bottom w:type="dxa" w:w="60"/>
              <w:right w:type="dxa" w:w="80"/>
            </w:tcMar>
            <w:vAlign w:val="center"/>
          </w:tcPr>
          <w:p>
            <w:pPr>
              <w:jc w:val="left"/>
            </w:pPr>
            <w:r>
              <w:rPr>
                <w:b/>
                <w:bCs/>
                <w:color w:val="B03A2E"/>
                <w:sz w:val="18"/>
                <w:szCs w:val="18"/>
              </w:rPr>
              <w:t xml:space="preserve">0.05x</w:t>
            </w:r>
          </w:p>
        </w:tc>
        <w:tc>
          <w:tcPr>
            <w:tcW w:type="dxa" w:w="2360"/>
            <w:tcMar>
              <w:top w:type="dxa" w:w="60"/>
              <w:left w:type="dxa" w:w="80"/>
              <w:bottom w:type="dxa" w:w="60"/>
              <w:right w:type="dxa" w:w="80"/>
            </w:tcMar>
            <w:vAlign w:val="center"/>
          </w:tcPr>
          <w:p>
            <w:pPr>
              <w:jc w:val="left"/>
            </w:pPr>
            <w:r>
              <w:rPr>
                <w:b w:val="false"/>
                <w:bCs w:val="false"/>
                <w:color w:val="000000"/>
                <w:sz w:val="18"/>
                <w:szCs w:val="18"/>
              </w:rPr>
              <w:t xml:space="preserve">Zero-return — kill</w:t>
            </w:r>
          </w:p>
        </w:tc>
      </w:tr>
      <w:tr>
        <w:tc>
          <w:tcPr>
            <w:tcW w:type="dxa" w:w="4200"/>
            <w:tcMar>
              <w:top w:type="dxa" w:w="60"/>
              <w:left w:type="dxa" w:w="80"/>
              <w:bottom w:type="dxa" w:w="60"/>
              <w:right w:type="dxa" w:w="80"/>
            </w:tcMar>
            <w:vAlign w:val="center"/>
          </w:tcPr>
          <w:p>
            <w:pPr>
              <w:jc w:val="left"/>
            </w:pPr>
            <w:r>
              <w:rPr>
                <w:b w:val="false"/>
                <w:bCs w:val="false"/>
                <w:color w:val="000000"/>
                <w:sz w:val="18"/>
                <w:szCs w:val="18"/>
              </w:rPr>
              <w:t xml:space="preserve">Sales | Shopping | US+Canada | DS</w:t>
            </w:r>
          </w:p>
        </w:tc>
        <w:tc>
          <w:tcPr>
            <w:tcW w:type="dxa" w:w="1600"/>
            <w:tcMar>
              <w:top w:type="dxa" w:w="60"/>
              <w:left w:type="dxa" w:w="80"/>
              <w:bottom w:type="dxa" w:w="60"/>
              <w:right w:type="dxa" w:w="80"/>
            </w:tcMar>
            <w:vAlign w:val="center"/>
          </w:tcPr>
          <w:p>
            <w:pPr>
              <w:jc w:val="left"/>
            </w:pPr>
            <w:r>
              <w:rPr>
                <w:b w:val="false"/>
                <w:bCs w:val="false"/>
                <w:color w:val="000000"/>
                <w:sz w:val="18"/>
                <w:szCs w:val="18"/>
              </w:rPr>
              <w:t xml:space="preserve">19,286</w:t>
            </w:r>
          </w:p>
        </w:tc>
        <w:tc>
          <w:tcPr>
            <w:tcW w:type="dxa" w:w="1200"/>
            <w:tcMar>
              <w:top w:type="dxa" w:w="60"/>
              <w:left w:type="dxa" w:w="80"/>
              <w:bottom w:type="dxa" w:w="60"/>
              <w:right w:type="dxa" w:w="80"/>
            </w:tcMar>
            <w:vAlign w:val="center"/>
          </w:tcPr>
          <w:p>
            <w:pPr>
              <w:jc w:val="left"/>
            </w:pPr>
            <w:r>
              <w:rPr>
                <w:b/>
                <w:bCs/>
                <w:color w:val="B03A2E"/>
                <w:sz w:val="18"/>
                <w:szCs w:val="18"/>
              </w:rPr>
              <w:t xml:space="preserve">0.00x</w:t>
            </w:r>
          </w:p>
        </w:tc>
        <w:tc>
          <w:tcPr>
            <w:tcW w:type="dxa" w:w="2360"/>
            <w:tcMar>
              <w:top w:type="dxa" w:w="60"/>
              <w:left w:type="dxa" w:w="80"/>
              <w:bottom w:type="dxa" w:w="60"/>
              <w:right w:type="dxa" w:w="80"/>
            </w:tcMar>
            <w:vAlign w:val="center"/>
          </w:tcPr>
          <w:p>
            <w:pPr>
              <w:jc w:val="left"/>
            </w:pPr>
            <w:r>
              <w:rPr>
                <w:b w:val="false"/>
                <w:bCs w:val="false"/>
                <w:color w:val="000000"/>
                <w:sz w:val="18"/>
                <w:szCs w:val="18"/>
              </w:rPr>
              <w:t xml:space="preserve">Zero-return — kill</w:t>
            </w:r>
          </w:p>
        </w:tc>
      </w:tr>
      <w:tr>
        <w:tc>
          <w:tcPr>
            <w:tcW w:type="dxa" w:w="4200"/>
            <w:tcMar>
              <w:top w:type="dxa" w:w="60"/>
              <w:left w:type="dxa" w:w="80"/>
              <w:bottom w:type="dxa" w:w="60"/>
              <w:right w:type="dxa" w:w="80"/>
            </w:tcMar>
            <w:vAlign w:val="center"/>
          </w:tcPr>
          <w:p>
            <w:pPr>
              <w:jc w:val="left"/>
            </w:pPr>
            <w:r>
              <w:rPr>
                <w:b w:val="false"/>
                <w:bCs w:val="false"/>
                <w:color w:val="000000"/>
                <w:sz w:val="18"/>
                <w:szCs w:val="18"/>
              </w:rPr>
              <w:t xml:space="preserve">XYZ LuxuryP_Pmax_India_27/03</w:t>
            </w:r>
          </w:p>
        </w:tc>
        <w:tc>
          <w:tcPr>
            <w:tcW w:type="dxa" w:w="1600"/>
            <w:tcMar>
              <w:top w:type="dxa" w:w="60"/>
              <w:left w:type="dxa" w:w="80"/>
              <w:bottom w:type="dxa" w:w="60"/>
              <w:right w:type="dxa" w:w="80"/>
            </w:tcMar>
            <w:vAlign w:val="center"/>
          </w:tcPr>
          <w:p>
            <w:pPr>
              <w:jc w:val="left"/>
            </w:pPr>
            <w:r>
              <w:rPr>
                <w:b w:val="false"/>
                <w:bCs w:val="false"/>
                <w:color w:val="000000"/>
                <w:sz w:val="18"/>
                <w:szCs w:val="18"/>
              </w:rPr>
              <w:t xml:space="preserve">7,280</w:t>
            </w:r>
          </w:p>
        </w:tc>
        <w:tc>
          <w:tcPr>
            <w:tcW w:type="dxa" w:w="1200"/>
            <w:tcMar>
              <w:top w:type="dxa" w:w="60"/>
              <w:left w:type="dxa" w:w="80"/>
              <w:bottom w:type="dxa" w:w="60"/>
              <w:right w:type="dxa" w:w="80"/>
            </w:tcMar>
            <w:vAlign w:val="center"/>
          </w:tcPr>
          <w:p>
            <w:pPr>
              <w:jc w:val="left"/>
            </w:pPr>
            <w:r>
              <w:rPr>
                <w:b/>
                <w:bCs/>
                <w:color w:val="B03A2E"/>
                <w:sz w:val="18"/>
                <w:szCs w:val="18"/>
              </w:rPr>
              <w:t xml:space="preserve">0.00x</w:t>
            </w:r>
          </w:p>
        </w:tc>
        <w:tc>
          <w:tcPr>
            <w:tcW w:type="dxa" w:w="2360"/>
            <w:tcMar>
              <w:top w:type="dxa" w:w="60"/>
              <w:left w:type="dxa" w:w="80"/>
              <w:bottom w:type="dxa" w:w="60"/>
              <w:right w:type="dxa" w:w="80"/>
            </w:tcMar>
            <w:vAlign w:val="center"/>
          </w:tcPr>
          <w:p>
            <w:pPr>
              <w:jc w:val="left"/>
            </w:pPr>
            <w:r>
              <w:rPr>
                <w:b w:val="false"/>
                <w:bCs w:val="false"/>
                <w:color w:val="000000"/>
                <w:sz w:val="18"/>
                <w:szCs w:val="18"/>
              </w:rPr>
              <w:t xml:space="preserve">Zero-return — kill</w:t>
            </w:r>
          </w:p>
        </w:tc>
      </w:tr>
    </w:tbl>
    <w:p>
      <w:pPr>
        <w:spacing w:after="100" w:before="200"/>
      </w:pPr>
      <w:r>
        <w:rPr>
          <w:b/>
          <w:bCs/>
          <w:color w:val="1F2A44"/>
          <w:sz w:val="22"/>
          <w:szCs w:val="22"/>
        </w:rPr>
        <w:t xml:space="preserve">Meta Ads — top campaigns by spend (24 campaigns, ₹58.83L total spend)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1200"/>
        <w:gridCol w:w="2360"/>
      </w:tblGrid>
      <w:tr>
        <w:trPr>
          <w:tblHeader/>
        </w:trPr>
        <w:tc>
          <w:tcPr>
            <w:tcW w:type="dxa" w:w="4200"/>
            <w:shd w:fill="1F2A44" w:val="clear"/>
            <w:tcMar>
              <w:top w:type="dxa" w:w="60"/>
              <w:left w:type="dxa" w:w="80"/>
              <w:bottom w:type="dxa" w:w="60"/>
              <w:right w:type="dxa" w:w="80"/>
            </w:tcMar>
            <w:vAlign w:val="center"/>
          </w:tcPr>
          <w:p>
            <w:pPr>
              <w:jc w:val="left"/>
            </w:pPr>
            <w:r>
              <w:rPr>
                <w:b/>
                <w:bCs/>
                <w:color w:val="FFFFFF"/>
                <w:sz w:val="18"/>
                <w:szCs w:val="18"/>
              </w:rPr>
              <w:t xml:space="preserve">Campaign</w:t>
            </w:r>
          </w:p>
        </w:tc>
        <w:tc>
          <w:tcPr>
            <w:tcW w:type="dxa" w:w="1600"/>
            <w:shd w:fill="1F2A44" w:val="clear"/>
            <w:tcMar>
              <w:top w:type="dxa" w:w="60"/>
              <w:left w:type="dxa" w:w="80"/>
              <w:bottom w:type="dxa" w:w="60"/>
              <w:right w:type="dxa" w:w="80"/>
            </w:tcMar>
            <w:vAlign w:val="center"/>
          </w:tcPr>
          <w:p>
            <w:pPr>
              <w:jc w:val="left"/>
            </w:pPr>
            <w:r>
              <w:rPr>
                <w:b/>
                <w:bCs/>
                <w:color w:val="FFFFFF"/>
                <w:sz w:val="18"/>
                <w:szCs w:val="18"/>
              </w:rPr>
              <w:t xml:space="preserve">Spend</w:t>
            </w:r>
          </w:p>
        </w:tc>
        <w:tc>
          <w:tcPr>
            <w:tcW w:type="dxa" w:w="1200"/>
            <w:shd w:fill="1F2A44" w:val="clear"/>
            <w:tcMar>
              <w:top w:type="dxa" w:w="60"/>
              <w:left w:type="dxa" w:w="80"/>
              <w:bottom w:type="dxa" w:w="60"/>
              <w:right w:type="dxa" w:w="80"/>
            </w:tcMar>
            <w:vAlign w:val="center"/>
          </w:tcPr>
          <w:p>
            <w:pPr>
              <w:jc w:val="left"/>
            </w:pPr>
            <w:r>
              <w:rPr>
                <w:b/>
                <w:bCs/>
                <w:color w:val="FFFFFF"/>
                <w:sz w:val="18"/>
                <w:szCs w:val="18"/>
              </w:rPr>
              <w:t xml:space="preserve">ROAS</w:t>
            </w:r>
          </w:p>
        </w:tc>
        <w:tc>
          <w:tcPr>
            <w:tcW w:type="dxa" w:w="2360"/>
            <w:shd w:fill="1F2A44" w:val="clear"/>
            <w:tcMar>
              <w:top w:type="dxa" w:w="60"/>
              <w:left w:type="dxa" w:w="80"/>
              <w:bottom w:type="dxa" w:w="60"/>
              <w:right w:type="dxa" w:w="80"/>
            </w:tcMar>
            <w:vAlign w:val="center"/>
          </w:tcPr>
          <w:p>
            <w:pPr>
              <w:jc w:val="left"/>
            </w:pPr>
            <w:r>
              <w:rPr>
                <w:b/>
                <w:bCs/>
                <w:color w:val="FFFFFF"/>
                <w:sz w:val="18"/>
                <w:szCs w:val="18"/>
              </w:rPr>
              <w:t xml:space="preserve">Call</w:t>
            </w:r>
          </w:p>
        </w:tc>
      </w:tr>
      <w:tr>
        <w:tc>
          <w:tcPr>
            <w:tcW w:type="dxa" w:w="4200"/>
            <w:tcMar>
              <w:top w:type="dxa" w:w="60"/>
              <w:left w:type="dxa" w:w="80"/>
              <w:bottom w:type="dxa" w:w="60"/>
              <w:right w:type="dxa" w:w="80"/>
            </w:tcMar>
            <w:vAlign w:val="center"/>
          </w:tcPr>
          <w:p>
            <w:pPr>
              <w:jc w:val="left"/>
            </w:pPr>
            <w:r>
              <w:rPr>
                <w:b w:val="false"/>
                <w:bCs w:val="false"/>
                <w:color w:val="000000"/>
                <w:sz w:val="18"/>
                <w:szCs w:val="18"/>
              </w:rPr>
              <w:t xml:space="preserve">MOF &amp; BOF | Sale | India+intl</w:t>
            </w:r>
          </w:p>
        </w:tc>
        <w:tc>
          <w:tcPr>
            <w:tcW w:type="dxa" w:w="1600"/>
            <w:tcMar>
              <w:top w:type="dxa" w:w="60"/>
              <w:left w:type="dxa" w:w="80"/>
              <w:bottom w:type="dxa" w:w="60"/>
              <w:right w:type="dxa" w:w="80"/>
            </w:tcMar>
            <w:vAlign w:val="center"/>
          </w:tcPr>
          <w:p>
            <w:pPr>
              <w:jc w:val="left"/>
            </w:pPr>
            <w:r>
              <w:rPr>
                <w:b w:val="false"/>
                <w:bCs w:val="false"/>
                <w:color w:val="000000"/>
                <w:sz w:val="18"/>
                <w:szCs w:val="18"/>
              </w:rPr>
              <w:t xml:space="preserve">15,73,536</w:t>
            </w:r>
          </w:p>
        </w:tc>
        <w:tc>
          <w:tcPr>
            <w:tcW w:type="dxa" w:w="1200"/>
            <w:tcMar>
              <w:top w:type="dxa" w:w="60"/>
              <w:left w:type="dxa" w:w="80"/>
              <w:bottom w:type="dxa" w:w="60"/>
              <w:right w:type="dxa" w:w="80"/>
            </w:tcMar>
            <w:vAlign w:val="center"/>
          </w:tcPr>
          <w:p>
            <w:pPr>
              <w:jc w:val="left"/>
            </w:pPr>
            <w:r>
              <w:rPr>
                <w:b w:val="false"/>
                <w:bCs w:val="false"/>
                <w:color w:val="1E7B45"/>
                <w:sz w:val="18"/>
                <w:szCs w:val="18"/>
              </w:rPr>
              <w:t xml:space="preserve">2.28x</w:t>
            </w:r>
          </w:p>
        </w:tc>
        <w:tc>
          <w:tcPr>
            <w:tcW w:type="dxa" w:w="2360"/>
            <w:tcMar>
              <w:top w:type="dxa" w:w="60"/>
              <w:left w:type="dxa" w:w="80"/>
              <w:bottom w:type="dxa" w:w="60"/>
              <w:right w:type="dxa" w:w="80"/>
            </w:tcMar>
            <w:vAlign w:val="center"/>
          </w:tcPr>
          <w:p>
            <w:pPr>
              <w:jc w:val="left"/>
            </w:pPr>
            <w:r>
              <w:rPr>
                <w:b w:val="false"/>
                <w:bCs w:val="false"/>
                <w:color w:val="000000"/>
                <w:sz w:val="18"/>
                <w:szCs w:val="18"/>
              </w:rPr>
              <w:t xml:space="preserve">Winner, but decaying — refresh &amp; trim</w:t>
            </w:r>
          </w:p>
        </w:tc>
      </w:tr>
      <w:tr>
        <w:tc>
          <w:tcPr>
            <w:tcW w:type="dxa" w:w="4200"/>
            <w:tcMar>
              <w:top w:type="dxa" w:w="60"/>
              <w:left w:type="dxa" w:w="80"/>
              <w:bottom w:type="dxa" w:w="60"/>
              <w:right w:type="dxa" w:w="80"/>
            </w:tcMar>
            <w:vAlign w:val="center"/>
          </w:tcPr>
          <w:p>
            <w:pPr>
              <w:jc w:val="left"/>
            </w:pPr>
            <w:r>
              <w:rPr>
                <w:b w:val="false"/>
                <w:bCs w:val="false"/>
                <w:color w:val="000000"/>
                <w:sz w:val="18"/>
                <w:szCs w:val="18"/>
              </w:rPr>
              <w:t xml:space="preserve">Conv|Tof|Multi Category|Ind|Direct</w:t>
            </w:r>
          </w:p>
        </w:tc>
        <w:tc>
          <w:tcPr>
            <w:tcW w:type="dxa" w:w="1600"/>
            <w:tcMar>
              <w:top w:type="dxa" w:w="60"/>
              <w:left w:type="dxa" w:w="80"/>
              <w:bottom w:type="dxa" w:w="60"/>
              <w:right w:type="dxa" w:w="80"/>
            </w:tcMar>
            <w:vAlign w:val="center"/>
          </w:tcPr>
          <w:p>
            <w:pPr>
              <w:jc w:val="left"/>
            </w:pPr>
            <w:r>
              <w:rPr>
                <w:b w:val="false"/>
                <w:bCs w:val="false"/>
                <w:color w:val="000000"/>
                <w:sz w:val="18"/>
                <w:szCs w:val="18"/>
              </w:rPr>
              <w:t xml:space="preserve">12,73,793</w:t>
            </w:r>
          </w:p>
        </w:tc>
        <w:tc>
          <w:tcPr>
            <w:tcW w:type="dxa" w:w="1200"/>
            <w:tcMar>
              <w:top w:type="dxa" w:w="60"/>
              <w:left w:type="dxa" w:w="80"/>
              <w:bottom w:type="dxa" w:w="60"/>
              <w:right w:type="dxa" w:w="80"/>
            </w:tcMar>
            <w:vAlign w:val="center"/>
          </w:tcPr>
          <w:p>
            <w:pPr>
              <w:jc w:val="left"/>
            </w:pPr>
            <w:r>
              <w:rPr>
                <w:b w:val="false"/>
                <w:bCs w:val="false"/>
                <w:color w:val="000000"/>
                <w:sz w:val="18"/>
                <w:szCs w:val="18"/>
              </w:rPr>
              <w:t xml:space="preserve">1.77x</w:t>
            </w:r>
          </w:p>
        </w:tc>
        <w:tc>
          <w:tcPr>
            <w:tcW w:type="dxa" w:w="2360"/>
            <w:tcMar>
              <w:top w:type="dxa" w:w="60"/>
              <w:left w:type="dxa" w:w="80"/>
              <w:bottom w:type="dxa" w:w="60"/>
              <w:right w:type="dxa" w:w="80"/>
            </w:tcMar>
            <w:vAlign w:val="center"/>
          </w:tcPr>
          <w:p>
            <w:pPr>
              <w:jc w:val="left"/>
            </w:pPr>
            <w:r>
              <w:rPr>
                <w:b w:val="false"/>
                <w:bCs w:val="false"/>
                <w:color w:val="000000"/>
                <w:sz w:val="18"/>
                <w:szCs w:val="18"/>
              </w:rPr>
              <w:t xml:space="preserve">Saturated — pull back hard</w:t>
            </w:r>
          </w:p>
        </w:tc>
      </w:tr>
      <w:tr>
        <w:tc>
          <w:tcPr>
            <w:tcW w:type="dxa" w:w="4200"/>
            <w:tcMar>
              <w:top w:type="dxa" w:w="60"/>
              <w:left w:type="dxa" w:w="80"/>
              <w:bottom w:type="dxa" w:w="60"/>
              <w:right w:type="dxa" w:w="80"/>
            </w:tcMar>
            <w:vAlign w:val="center"/>
          </w:tcPr>
          <w:p>
            <w:pPr>
              <w:jc w:val="left"/>
            </w:pPr>
            <w:r>
              <w:rPr>
                <w:b w:val="false"/>
                <w:bCs w:val="false"/>
                <w:color w:val="000000"/>
                <w:sz w:val="18"/>
                <w:szCs w:val="18"/>
              </w:rPr>
              <w:t xml:space="preserve">Conv|Tof|Multicategory|US|Direct</w:t>
            </w:r>
          </w:p>
        </w:tc>
        <w:tc>
          <w:tcPr>
            <w:tcW w:type="dxa" w:w="1600"/>
            <w:tcMar>
              <w:top w:type="dxa" w:w="60"/>
              <w:left w:type="dxa" w:w="80"/>
              <w:bottom w:type="dxa" w:w="60"/>
              <w:right w:type="dxa" w:w="80"/>
            </w:tcMar>
            <w:vAlign w:val="center"/>
          </w:tcPr>
          <w:p>
            <w:pPr>
              <w:jc w:val="left"/>
            </w:pPr>
            <w:r>
              <w:rPr>
                <w:b w:val="false"/>
                <w:bCs w:val="false"/>
                <w:color w:val="000000"/>
                <w:sz w:val="18"/>
                <w:szCs w:val="18"/>
              </w:rPr>
              <w:t xml:space="preserve">5,13,697</w:t>
            </w:r>
          </w:p>
        </w:tc>
        <w:tc>
          <w:tcPr>
            <w:tcW w:type="dxa" w:w="1200"/>
            <w:tcMar>
              <w:top w:type="dxa" w:w="60"/>
              <w:left w:type="dxa" w:w="80"/>
              <w:bottom w:type="dxa" w:w="60"/>
              <w:right w:type="dxa" w:w="80"/>
            </w:tcMar>
            <w:vAlign w:val="center"/>
          </w:tcPr>
          <w:p>
            <w:pPr>
              <w:jc w:val="left"/>
            </w:pPr>
            <w:r>
              <w:rPr>
                <w:b w:val="false"/>
                <w:bCs w:val="false"/>
                <w:color w:val="1E7B45"/>
                <w:sz w:val="18"/>
                <w:szCs w:val="18"/>
              </w:rPr>
              <w:t xml:space="preserve">1.97x</w:t>
            </w:r>
          </w:p>
        </w:tc>
        <w:tc>
          <w:tcPr>
            <w:tcW w:type="dxa" w:w="2360"/>
            <w:tcMar>
              <w:top w:type="dxa" w:w="60"/>
              <w:left w:type="dxa" w:w="80"/>
              <w:bottom w:type="dxa" w:w="60"/>
              <w:right w:type="dxa" w:w="80"/>
            </w:tcMar>
            <w:vAlign w:val="center"/>
          </w:tcPr>
          <w:p>
            <w:pPr>
              <w:jc w:val="left"/>
            </w:pPr>
            <w:r>
              <w:rPr>
                <w:b w:val="false"/>
                <w:bCs w:val="false"/>
                <w:color w:val="000000"/>
                <w:sz w:val="18"/>
                <w:szCs w:val="18"/>
              </w:rPr>
              <w:t xml:space="preserve">Improving — scale</w:t>
            </w:r>
          </w:p>
        </w:tc>
      </w:tr>
      <w:tr>
        <w:tc>
          <w:tcPr>
            <w:tcW w:type="dxa" w:w="4200"/>
            <w:tcMar>
              <w:top w:type="dxa" w:w="60"/>
              <w:left w:type="dxa" w:w="80"/>
              <w:bottom w:type="dxa" w:w="60"/>
              <w:right w:type="dxa" w:w="80"/>
            </w:tcMar>
            <w:vAlign w:val="center"/>
          </w:tcPr>
          <w:p>
            <w:pPr>
              <w:jc w:val="left"/>
            </w:pPr>
            <w:r>
              <w:rPr>
                <w:b w:val="false"/>
                <w:bCs w:val="false"/>
                <w:color w:val="000000"/>
                <w:sz w:val="18"/>
                <w:szCs w:val="18"/>
              </w:rPr>
              <w:t xml:space="preserve">Conv|Tof|Multicategory|INT|Direct</w:t>
            </w:r>
          </w:p>
        </w:tc>
        <w:tc>
          <w:tcPr>
            <w:tcW w:type="dxa" w:w="1600"/>
            <w:tcMar>
              <w:top w:type="dxa" w:w="60"/>
              <w:left w:type="dxa" w:w="80"/>
              <w:bottom w:type="dxa" w:w="60"/>
              <w:right w:type="dxa" w:w="80"/>
            </w:tcMar>
            <w:vAlign w:val="center"/>
          </w:tcPr>
          <w:p>
            <w:pPr>
              <w:jc w:val="left"/>
            </w:pPr>
            <w:r>
              <w:rPr>
                <w:b w:val="false"/>
                <w:bCs w:val="false"/>
                <w:color w:val="000000"/>
                <w:sz w:val="18"/>
                <w:szCs w:val="18"/>
              </w:rPr>
              <w:t xml:space="preserve">4,23,392</w:t>
            </w:r>
          </w:p>
        </w:tc>
        <w:tc>
          <w:tcPr>
            <w:tcW w:type="dxa" w:w="1200"/>
            <w:tcMar>
              <w:top w:type="dxa" w:w="60"/>
              <w:left w:type="dxa" w:w="80"/>
              <w:bottom w:type="dxa" w:w="60"/>
              <w:right w:type="dxa" w:w="80"/>
            </w:tcMar>
            <w:vAlign w:val="center"/>
          </w:tcPr>
          <w:p>
            <w:pPr>
              <w:jc w:val="left"/>
            </w:pPr>
            <w:r>
              <w:rPr>
                <w:b w:val="false"/>
                <w:bCs w:val="false"/>
                <w:color w:val="C0392B"/>
                <w:sz w:val="18"/>
                <w:szCs w:val="18"/>
              </w:rPr>
              <w:t xml:space="preserve">1.11x</w:t>
            </w:r>
          </w:p>
        </w:tc>
        <w:tc>
          <w:tcPr>
            <w:tcW w:type="dxa" w:w="2360"/>
            <w:tcMar>
              <w:top w:type="dxa" w:w="60"/>
              <w:left w:type="dxa" w:w="80"/>
              <w:bottom w:type="dxa" w:w="60"/>
              <w:right w:type="dxa" w:w="80"/>
            </w:tcMar>
            <w:vAlign w:val="center"/>
          </w:tcPr>
          <w:p>
            <w:pPr>
              <w:jc w:val="left"/>
            </w:pPr>
            <w:r>
              <w:rPr>
                <w:b w:val="false"/>
                <w:bCs w:val="false"/>
                <w:color w:val="000000"/>
                <w:sz w:val="18"/>
                <w:szCs w:val="18"/>
              </w:rPr>
              <w:t xml:space="preserve">Loser — reduce</w:t>
            </w:r>
          </w:p>
        </w:tc>
      </w:tr>
      <w:tr>
        <w:tc>
          <w:tcPr>
            <w:tcW w:type="dxa" w:w="4200"/>
            <w:tcMar>
              <w:top w:type="dxa" w:w="60"/>
              <w:left w:type="dxa" w:w="80"/>
              <w:bottom w:type="dxa" w:w="60"/>
              <w:right w:type="dxa" w:w="80"/>
            </w:tcMar>
            <w:vAlign w:val="center"/>
          </w:tcPr>
          <w:p>
            <w:pPr>
              <w:jc w:val="left"/>
            </w:pPr>
            <w:r>
              <w:rPr>
                <w:b w:val="false"/>
                <w:bCs w:val="false"/>
                <w:color w:val="000000"/>
                <w:sz w:val="18"/>
                <w:szCs w:val="18"/>
              </w:rPr>
              <w:t xml:space="preserve">Conv|Tof|Multicategory|CA|Direct</w:t>
            </w:r>
          </w:p>
        </w:tc>
        <w:tc>
          <w:tcPr>
            <w:tcW w:type="dxa" w:w="1600"/>
            <w:tcMar>
              <w:top w:type="dxa" w:w="60"/>
              <w:left w:type="dxa" w:w="80"/>
              <w:bottom w:type="dxa" w:w="60"/>
              <w:right w:type="dxa" w:w="80"/>
            </w:tcMar>
            <w:vAlign w:val="center"/>
          </w:tcPr>
          <w:p>
            <w:pPr>
              <w:jc w:val="left"/>
            </w:pPr>
            <w:r>
              <w:rPr>
                <w:b w:val="false"/>
                <w:bCs w:val="false"/>
                <w:color w:val="000000"/>
                <w:sz w:val="18"/>
                <w:szCs w:val="18"/>
              </w:rPr>
              <w:t xml:space="preserve">4,19,924</w:t>
            </w:r>
          </w:p>
        </w:tc>
        <w:tc>
          <w:tcPr>
            <w:tcW w:type="dxa" w:w="1200"/>
            <w:tcMar>
              <w:top w:type="dxa" w:w="60"/>
              <w:left w:type="dxa" w:w="80"/>
              <w:bottom w:type="dxa" w:w="60"/>
              <w:right w:type="dxa" w:w="80"/>
            </w:tcMar>
            <w:vAlign w:val="center"/>
          </w:tcPr>
          <w:p>
            <w:pPr>
              <w:jc w:val="left"/>
            </w:pPr>
            <w:r>
              <w:rPr>
                <w:b w:val="false"/>
                <w:bCs w:val="false"/>
                <w:color w:val="000000"/>
                <w:sz w:val="18"/>
                <w:szCs w:val="18"/>
              </w:rPr>
              <w:t xml:space="preserve">1.63x</w:t>
            </w:r>
          </w:p>
        </w:tc>
        <w:tc>
          <w:tcPr>
            <w:tcW w:type="dxa" w:w="2360"/>
            <w:tcMar>
              <w:top w:type="dxa" w:w="60"/>
              <w:left w:type="dxa" w:w="80"/>
              <w:bottom w:type="dxa" w:w="60"/>
              <w:right w:type="dxa" w:w="80"/>
            </w:tcMar>
            <w:vAlign w:val="center"/>
          </w:tcPr>
          <w:p>
            <w:pPr>
              <w:jc w:val="left"/>
            </w:pPr>
            <w:r>
              <w:rPr>
                <w:b w:val="false"/>
                <w:bCs w:val="false"/>
                <w:color w:val="000000"/>
                <w:sz w:val="18"/>
                <w:szCs w:val="18"/>
              </w:rPr>
              <w:t xml:space="preserve">OK — maintain</w:t>
            </w:r>
          </w:p>
        </w:tc>
      </w:tr>
      <w:tr>
        <w:tc>
          <w:tcPr>
            <w:tcW w:type="dxa" w:w="4200"/>
            <w:tcMar>
              <w:top w:type="dxa" w:w="60"/>
              <w:left w:type="dxa" w:w="80"/>
              <w:bottom w:type="dxa" w:w="60"/>
              <w:right w:type="dxa" w:w="80"/>
            </w:tcMar>
            <w:vAlign w:val="center"/>
          </w:tcPr>
          <w:p>
            <w:pPr>
              <w:jc w:val="left"/>
            </w:pPr>
            <w:r>
              <w:rPr>
                <w:b w:val="false"/>
                <w:bCs w:val="false"/>
                <w:color w:val="000000"/>
                <w:sz w:val="18"/>
                <w:szCs w:val="18"/>
              </w:rPr>
              <w:t xml:space="preserve">TOF|Sale|India</w:t>
            </w:r>
          </w:p>
        </w:tc>
        <w:tc>
          <w:tcPr>
            <w:tcW w:type="dxa" w:w="1600"/>
            <w:tcMar>
              <w:top w:type="dxa" w:w="60"/>
              <w:left w:type="dxa" w:w="80"/>
              <w:bottom w:type="dxa" w:w="60"/>
              <w:right w:type="dxa" w:w="80"/>
            </w:tcMar>
            <w:vAlign w:val="center"/>
          </w:tcPr>
          <w:p>
            <w:pPr>
              <w:jc w:val="left"/>
            </w:pPr>
            <w:r>
              <w:rPr>
                <w:b w:val="false"/>
                <w:bCs w:val="false"/>
                <w:color w:val="000000"/>
                <w:sz w:val="18"/>
                <w:szCs w:val="18"/>
              </w:rPr>
              <w:t xml:space="preserve">3,72,301</w:t>
            </w:r>
          </w:p>
        </w:tc>
        <w:tc>
          <w:tcPr>
            <w:tcW w:type="dxa" w:w="1200"/>
            <w:tcMar>
              <w:top w:type="dxa" w:w="60"/>
              <w:left w:type="dxa" w:w="80"/>
              <w:bottom w:type="dxa" w:w="60"/>
              <w:right w:type="dxa" w:w="80"/>
            </w:tcMar>
            <w:vAlign w:val="center"/>
          </w:tcPr>
          <w:p>
            <w:pPr>
              <w:jc w:val="left"/>
            </w:pPr>
            <w:r>
              <w:rPr>
                <w:b w:val="false"/>
                <w:bCs w:val="false"/>
                <w:color w:val="000000"/>
                <w:sz w:val="18"/>
                <w:szCs w:val="18"/>
              </w:rPr>
              <w:t xml:space="preserve">1.63x*</w:t>
            </w:r>
          </w:p>
        </w:tc>
        <w:tc>
          <w:tcPr>
            <w:tcW w:type="dxa" w:w="2360"/>
            <w:tcMar>
              <w:top w:type="dxa" w:w="60"/>
              <w:left w:type="dxa" w:w="80"/>
              <w:bottom w:type="dxa" w:w="60"/>
              <w:right w:type="dxa" w:w="80"/>
            </w:tcMar>
            <w:vAlign w:val="center"/>
          </w:tcPr>
          <w:p>
            <w:pPr>
              <w:jc w:val="left"/>
            </w:pPr>
            <w:r>
              <w:rPr>
                <w:b w:val="false"/>
                <w:bCs w:val="false"/>
                <w:color w:val="000000"/>
                <w:sz w:val="18"/>
                <w:szCs w:val="18"/>
              </w:rPr>
              <w:t xml:space="preserve">Already dead — wind down</w:t>
            </w:r>
          </w:p>
        </w:tc>
      </w:tr>
      <w:tr>
        <w:tc>
          <w:tcPr>
            <w:tcW w:type="dxa" w:w="4200"/>
            <w:tcMar>
              <w:top w:type="dxa" w:w="60"/>
              <w:left w:type="dxa" w:w="80"/>
              <w:bottom w:type="dxa" w:w="60"/>
              <w:right w:type="dxa" w:w="80"/>
            </w:tcMar>
            <w:vAlign w:val="center"/>
          </w:tcPr>
          <w:p>
            <w:pPr>
              <w:jc w:val="left"/>
            </w:pPr>
            <w:r>
              <w:rPr>
                <w:b w:val="false"/>
                <w:bCs w:val="false"/>
                <w:color w:val="000000"/>
                <w:sz w:val="18"/>
                <w:szCs w:val="18"/>
              </w:rPr>
              <w:t xml:space="preserve">TOF|Sales|India|Open</w:t>
            </w:r>
          </w:p>
        </w:tc>
        <w:tc>
          <w:tcPr>
            <w:tcW w:type="dxa" w:w="1600"/>
            <w:tcMar>
              <w:top w:type="dxa" w:w="60"/>
              <w:left w:type="dxa" w:w="80"/>
              <w:bottom w:type="dxa" w:w="60"/>
              <w:right w:type="dxa" w:w="80"/>
            </w:tcMar>
            <w:vAlign w:val="center"/>
          </w:tcPr>
          <w:p>
            <w:pPr>
              <w:jc w:val="left"/>
            </w:pPr>
            <w:r>
              <w:rPr>
                <w:b w:val="false"/>
                <w:bCs w:val="false"/>
                <w:color w:val="000000"/>
                <w:sz w:val="18"/>
                <w:szCs w:val="18"/>
              </w:rPr>
              <w:t xml:space="preserve">3,69,424</w:t>
            </w:r>
          </w:p>
        </w:tc>
        <w:tc>
          <w:tcPr>
            <w:tcW w:type="dxa" w:w="1200"/>
            <w:tcMar>
              <w:top w:type="dxa" w:w="60"/>
              <w:left w:type="dxa" w:w="80"/>
              <w:bottom w:type="dxa" w:w="60"/>
              <w:right w:type="dxa" w:w="80"/>
            </w:tcMar>
            <w:vAlign w:val="center"/>
          </w:tcPr>
          <w:p>
            <w:pPr>
              <w:jc w:val="left"/>
            </w:pPr>
            <w:r>
              <w:rPr>
                <w:b/>
                <w:bCs/>
                <w:color w:val="1E7B45"/>
                <w:sz w:val="18"/>
                <w:szCs w:val="18"/>
              </w:rPr>
              <w:t xml:space="preserve">2.12x</w:t>
            </w:r>
          </w:p>
        </w:tc>
        <w:tc>
          <w:tcPr>
            <w:tcW w:type="dxa" w:w="2360"/>
            <w:tcMar>
              <w:top w:type="dxa" w:w="60"/>
              <w:left w:type="dxa" w:w="80"/>
              <w:bottom w:type="dxa" w:w="60"/>
              <w:right w:type="dxa" w:w="80"/>
            </w:tcMar>
            <w:vAlign w:val="center"/>
          </w:tcPr>
          <w:p>
            <w:pPr>
              <w:jc w:val="left"/>
            </w:pPr>
            <w:r>
              <w:rPr>
                <w:b w:val="false"/>
                <w:bCs w:val="false"/>
                <w:color w:val="000000"/>
                <w:sz w:val="18"/>
                <w:szCs w:val="18"/>
              </w:rPr>
              <w:t xml:space="preserve">Winner — scale</w:t>
            </w:r>
          </w:p>
        </w:tc>
      </w:tr>
      <w:tr>
        <w:tc>
          <w:tcPr>
            <w:tcW w:type="dxa" w:w="4200"/>
            <w:tcMar>
              <w:top w:type="dxa" w:w="60"/>
              <w:left w:type="dxa" w:w="80"/>
              <w:bottom w:type="dxa" w:w="60"/>
              <w:right w:type="dxa" w:w="80"/>
            </w:tcMar>
            <w:vAlign w:val="center"/>
          </w:tcPr>
          <w:p>
            <w:pPr>
              <w:jc w:val="left"/>
            </w:pPr>
            <w:r>
              <w:rPr>
                <w:b w:val="false"/>
                <w:bCs w:val="false"/>
                <w:color w:val="000000"/>
                <w:sz w:val="18"/>
                <w:szCs w:val="18"/>
              </w:rPr>
              <w:t xml:space="preserve">TOF|Sale|US</w:t>
            </w:r>
          </w:p>
        </w:tc>
        <w:tc>
          <w:tcPr>
            <w:tcW w:type="dxa" w:w="1600"/>
            <w:tcMar>
              <w:top w:type="dxa" w:w="60"/>
              <w:left w:type="dxa" w:w="80"/>
              <w:bottom w:type="dxa" w:w="60"/>
              <w:right w:type="dxa" w:w="80"/>
            </w:tcMar>
            <w:vAlign w:val="center"/>
          </w:tcPr>
          <w:p>
            <w:pPr>
              <w:jc w:val="left"/>
            </w:pPr>
            <w:r>
              <w:rPr>
                <w:b w:val="false"/>
                <w:bCs w:val="false"/>
                <w:color w:val="000000"/>
                <w:sz w:val="18"/>
                <w:szCs w:val="18"/>
              </w:rPr>
              <w:t xml:space="preserve">2,96,075</w:t>
            </w:r>
          </w:p>
        </w:tc>
        <w:tc>
          <w:tcPr>
            <w:tcW w:type="dxa" w:w="1200"/>
            <w:tcMar>
              <w:top w:type="dxa" w:w="60"/>
              <w:left w:type="dxa" w:w="80"/>
              <w:bottom w:type="dxa" w:w="60"/>
              <w:right w:type="dxa" w:w="80"/>
            </w:tcMar>
            <w:vAlign w:val="center"/>
          </w:tcPr>
          <w:p>
            <w:pPr>
              <w:jc w:val="left"/>
            </w:pPr>
            <w:r>
              <w:rPr>
                <w:b/>
                <w:bCs/>
                <w:color w:val="1E7B45"/>
                <w:sz w:val="18"/>
                <w:szCs w:val="18"/>
              </w:rPr>
              <w:t xml:space="preserve">2.21x</w:t>
            </w:r>
          </w:p>
        </w:tc>
        <w:tc>
          <w:tcPr>
            <w:tcW w:type="dxa" w:w="2360"/>
            <w:tcMar>
              <w:top w:type="dxa" w:w="60"/>
              <w:left w:type="dxa" w:w="80"/>
              <w:bottom w:type="dxa" w:w="60"/>
              <w:right w:type="dxa" w:w="80"/>
            </w:tcMar>
            <w:vAlign w:val="center"/>
          </w:tcPr>
          <w:p>
            <w:pPr>
              <w:jc w:val="left"/>
            </w:pPr>
            <w:r>
              <w:rPr>
                <w:b w:val="false"/>
                <w:bCs w:val="false"/>
                <w:color w:val="000000"/>
                <w:sz w:val="18"/>
                <w:szCs w:val="18"/>
              </w:rPr>
              <w:t xml:space="preserve">Winner — scale</w:t>
            </w:r>
          </w:p>
        </w:tc>
      </w:tr>
      <w:tr>
        <w:tc>
          <w:tcPr>
            <w:tcW w:type="dxa" w:w="4200"/>
            <w:tcMar>
              <w:top w:type="dxa" w:w="60"/>
              <w:left w:type="dxa" w:w="80"/>
              <w:bottom w:type="dxa" w:w="60"/>
              <w:right w:type="dxa" w:w="80"/>
            </w:tcMar>
            <w:vAlign w:val="center"/>
          </w:tcPr>
          <w:p>
            <w:pPr>
              <w:jc w:val="left"/>
            </w:pPr>
            <w:r>
              <w:rPr>
                <w:b w:val="false"/>
                <w:bCs w:val="false"/>
                <w:color w:val="000000"/>
                <w:sz w:val="18"/>
                <w:szCs w:val="18"/>
              </w:rPr>
              <w:t xml:space="preserve">Conv|Tof|Multi Category|Ind|LAL</w:t>
            </w:r>
          </w:p>
        </w:tc>
        <w:tc>
          <w:tcPr>
            <w:tcW w:type="dxa" w:w="1600"/>
            <w:tcMar>
              <w:top w:type="dxa" w:w="60"/>
              <w:left w:type="dxa" w:w="80"/>
              <w:bottom w:type="dxa" w:w="60"/>
              <w:right w:type="dxa" w:w="80"/>
            </w:tcMar>
            <w:vAlign w:val="center"/>
          </w:tcPr>
          <w:p>
            <w:pPr>
              <w:jc w:val="left"/>
            </w:pPr>
            <w:r>
              <w:rPr>
                <w:b w:val="false"/>
                <w:bCs w:val="false"/>
                <w:color w:val="000000"/>
                <w:sz w:val="18"/>
                <w:szCs w:val="18"/>
              </w:rPr>
              <w:t xml:space="preserve">2,20,787</w:t>
            </w:r>
          </w:p>
        </w:tc>
        <w:tc>
          <w:tcPr>
            <w:tcW w:type="dxa" w:w="1200"/>
            <w:tcMar>
              <w:top w:type="dxa" w:w="60"/>
              <w:left w:type="dxa" w:w="80"/>
              <w:bottom w:type="dxa" w:w="60"/>
              <w:right w:type="dxa" w:w="80"/>
            </w:tcMar>
            <w:vAlign w:val="center"/>
          </w:tcPr>
          <w:p>
            <w:pPr>
              <w:jc w:val="left"/>
            </w:pPr>
            <w:r>
              <w:rPr>
                <w:b w:val="false"/>
                <w:bCs w:val="false"/>
                <w:color w:val="000000"/>
                <w:sz w:val="18"/>
                <w:szCs w:val="18"/>
              </w:rPr>
              <w:t xml:space="preserve">1.79x</w:t>
            </w:r>
          </w:p>
        </w:tc>
        <w:tc>
          <w:tcPr>
            <w:tcW w:type="dxa" w:w="2360"/>
            <w:tcMar>
              <w:top w:type="dxa" w:w="60"/>
              <w:left w:type="dxa" w:w="80"/>
              <w:bottom w:type="dxa" w:w="60"/>
              <w:right w:type="dxa" w:w="80"/>
            </w:tcMar>
            <w:vAlign w:val="center"/>
          </w:tcPr>
          <w:p>
            <w:pPr>
              <w:jc w:val="left"/>
            </w:pPr>
            <w:r>
              <w:rPr>
                <w:b w:val="false"/>
                <w:bCs w:val="false"/>
                <w:color w:val="000000"/>
                <w:sz w:val="18"/>
                <w:szCs w:val="18"/>
              </w:rPr>
              <w:t xml:space="preserve">OK — maintain</w:t>
            </w:r>
          </w:p>
        </w:tc>
      </w:tr>
      <w:tr>
        <w:tc>
          <w:tcPr>
            <w:tcW w:type="dxa" w:w="4200"/>
            <w:tcMar>
              <w:top w:type="dxa" w:w="60"/>
              <w:left w:type="dxa" w:w="80"/>
              <w:bottom w:type="dxa" w:w="60"/>
              <w:right w:type="dxa" w:w="80"/>
            </w:tcMar>
            <w:vAlign w:val="center"/>
          </w:tcPr>
          <w:p>
            <w:pPr>
              <w:jc w:val="left"/>
            </w:pPr>
            <w:r>
              <w:rPr>
                <w:b w:val="false"/>
                <w:bCs w:val="false"/>
                <w:color w:val="000000"/>
                <w:sz w:val="18"/>
                <w:szCs w:val="18"/>
              </w:rPr>
              <w:t xml:space="preserve">TOF|Sales|Australia|EOSS</w:t>
            </w:r>
          </w:p>
        </w:tc>
        <w:tc>
          <w:tcPr>
            <w:tcW w:type="dxa" w:w="1600"/>
            <w:tcMar>
              <w:top w:type="dxa" w:w="60"/>
              <w:left w:type="dxa" w:w="80"/>
              <w:bottom w:type="dxa" w:w="60"/>
              <w:right w:type="dxa" w:w="80"/>
            </w:tcMar>
            <w:vAlign w:val="center"/>
          </w:tcPr>
          <w:p>
            <w:pPr>
              <w:jc w:val="left"/>
            </w:pPr>
            <w:r>
              <w:rPr>
                <w:b w:val="false"/>
                <w:bCs w:val="false"/>
                <w:color w:val="000000"/>
                <w:sz w:val="18"/>
                <w:szCs w:val="18"/>
              </w:rPr>
              <w:t xml:space="preserve">1,99,729</w:t>
            </w:r>
          </w:p>
        </w:tc>
        <w:tc>
          <w:tcPr>
            <w:tcW w:type="dxa" w:w="1200"/>
            <w:tcMar>
              <w:top w:type="dxa" w:w="60"/>
              <w:left w:type="dxa" w:w="80"/>
              <w:bottom w:type="dxa" w:w="60"/>
              <w:right w:type="dxa" w:w="80"/>
            </w:tcMar>
            <w:vAlign w:val="center"/>
          </w:tcPr>
          <w:p>
            <w:pPr>
              <w:jc w:val="left"/>
            </w:pPr>
            <w:r>
              <w:rPr>
                <w:b w:val="false"/>
                <w:bCs w:val="false"/>
                <w:color w:val="1E7B45"/>
                <w:sz w:val="18"/>
                <w:szCs w:val="18"/>
              </w:rPr>
              <w:t xml:space="preserve">2.15x</w:t>
            </w:r>
          </w:p>
        </w:tc>
        <w:tc>
          <w:tcPr>
            <w:tcW w:type="dxa" w:w="2360"/>
            <w:tcMar>
              <w:top w:type="dxa" w:w="60"/>
              <w:left w:type="dxa" w:w="80"/>
              <w:bottom w:type="dxa" w:w="60"/>
              <w:right w:type="dxa" w:w="80"/>
            </w:tcMar>
            <w:vAlign w:val="center"/>
          </w:tcPr>
          <w:p>
            <w:pPr>
              <w:jc w:val="left"/>
            </w:pPr>
            <w:r>
              <w:rPr>
                <w:b w:val="false"/>
                <w:bCs w:val="false"/>
                <w:color w:val="000000"/>
                <w:sz w:val="18"/>
                <w:szCs w:val="18"/>
              </w:rPr>
              <w:t xml:space="preserve">Winner, small base — test-scale</w:t>
            </w:r>
          </w:p>
        </w:tc>
      </w:tr>
      <w:tr>
        <w:tc>
          <w:tcPr>
            <w:tcW w:type="dxa" w:w="4200"/>
            <w:tcMar>
              <w:top w:type="dxa" w:w="60"/>
              <w:left w:type="dxa" w:w="80"/>
              <w:bottom w:type="dxa" w:w="60"/>
              <w:right w:type="dxa" w:w="80"/>
            </w:tcMar>
            <w:vAlign w:val="center"/>
          </w:tcPr>
          <w:p>
            <w:pPr>
              <w:jc w:val="left"/>
            </w:pPr>
            <w:r>
              <w:rPr>
                <w:b w:val="false"/>
                <w:bCs w:val="false"/>
                <w:color w:val="000000"/>
                <w:sz w:val="18"/>
                <w:szCs w:val="18"/>
              </w:rPr>
              <w:t xml:space="preserve">TOF|Sales|United Kingdom|EOSS</w:t>
            </w:r>
          </w:p>
        </w:tc>
        <w:tc>
          <w:tcPr>
            <w:tcW w:type="dxa" w:w="1600"/>
            <w:tcMar>
              <w:top w:type="dxa" w:w="60"/>
              <w:left w:type="dxa" w:w="80"/>
              <w:bottom w:type="dxa" w:w="60"/>
              <w:right w:type="dxa" w:w="80"/>
            </w:tcMar>
            <w:vAlign w:val="center"/>
          </w:tcPr>
          <w:p>
            <w:pPr>
              <w:jc w:val="left"/>
            </w:pPr>
            <w:r>
              <w:rPr>
                <w:b w:val="false"/>
                <w:bCs w:val="false"/>
                <w:color w:val="000000"/>
                <w:sz w:val="18"/>
                <w:szCs w:val="18"/>
              </w:rPr>
              <w:t xml:space="preserve">52,558</w:t>
            </w:r>
          </w:p>
        </w:tc>
        <w:tc>
          <w:tcPr>
            <w:tcW w:type="dxa" w:w="1200"/>
            <w:tcMar>
              <w:top w:type="dxa" w:w="60"/>
              <w:left w:type="dxa" w:w="80"/>
              <w:bottom w:type="dxa" w:w="60"/>
              <w:right w:type="dxa" w:w="80"/>
            </w:tcMar>
            <w:vAlign w:val="center"/>
          </w:tcPr>
          <w:p>
            <w:pPr>
              <w:jc w:val="left"/>
            </w:pPr>
            <w:r>
              <w:rPr>
                <w:b w:val="false"/>
                <w:bCs w:val="false"/>
                <w:color w:val="C0392B"/>
                <w:sz w:val="18"/>
                <w:szCs w:val="18"/>
              </w:rPr>
              <w:t xml:space="preserve">0.81x</w:t>
            </w:r>
          </w:p>
        </w:tc>
        <w:tc>
          <w:tcPr>
            <w:tcW w:type="dxa" w:w="2360"/>
            <w:tcMar>
              <w:top w:type="dxa" w:w="60"/>
              <w:left w:type="dxa" w:w="80"/>
              <w:bottom w:type="dxa" w:w="60"/>
              <w:right w:type="dxa" w:w="80"/>
            </w:tcMar>
            <w:vAlign w:val="center"/>
          </w:tcPr>
          <w:p>
            <w:pPr>
              <w:jc w:val="left"/>
            </w:pPr>
            <w:r>
              <w:rPr>
                <w:b w:val="false"/>
                <w:bCs w:val="false"/>
                <w:color w:val="000000"/>
                <w:sz w:val="18"/>
                <w:szCs w:val="18"/>
              </w:rPr>
              <w:t xml:space="preserve">Loser — reduce</w:t>
            </w:r>
          </w:p>
        </w:tc>
      </w:tr>
      <w:tr>
        <w:tc>
          <w:tcPr>
            <w:tcW w:type="dxa" w:w="4200"/>
            <w:tcMar>
              <w:top w:type="dxa" w:w="60"/>
              <w:left w:type="dxa" w:w="80"/>
              <w:bottom w:type="dxa" w:w="60"/>
              <w:right w:type="dxa" w:w="80"/>
            </w:tcMar>
            <w:vAlign w:val="center"/>
          </w:tcPr>
          <w:p>
            <w:pPr>
              <w:jc w:val="left"/>
            </w:pPr>
            <w:r>
              <w:rPr>
                <w:b w:val="false"/>
                <w:bCs w:val="false"/>
                <w:color w:val="000000"/>
                <w:sz w:val="18"/>
                <w:szCs w:val="18"/>
              </w:rPr>
              <w:t xml:space="preserve">9 smallest campaigns (combined)</w:t>
            </w:r>
          </w:p>
        </w:tc>
        <w:tc>
          <w:tcPr>
            <w:tcW w:type="dxa" w:w="1600"/>
            <w:tcMar>
              <w:top w:type="dxa" w:w="60"/>
              <w:left w:type="dxa" w:w="80"/>
              <w:bottom w:type="dxa" w:w="60"/>
              <w:right w:type="dxa" w:w="80"/>
            </w:tcMar>
            <w:vAlign w:val="center"/>
          </w:tcPr>
          <w:p>
            <w:pPr>
              <w:jc w:val="left"/>
            </w:pPr>
            <w:r>
              <w:rPr>
                <w:b w:val="false"/>
                <w:bCs w:val="false"/>
                <w:color w:val="000000"/>
                <w:sz w:val="18"/>
                <w:szCs w:val="18"/>
              </w:rPr>
              <w:t xml:space="preserve">≈ 79,700</w:t>
            </w:r>
          </w:p>
        </w:tc>
        <w:tc>
          <w:tcPr>
            <w:tcW w:type="dxa" w:w="1200"/>
            <w:tcMar>
              <w:top w:type="dxa" w:w="60"/>
              <w:left w:type="dxa" w:w="80"/>
              <w:bottom w:type="dxa" w:w="60"/>
              <w:right w:type="dxa" w:w="80"/>
            </w:tcMar>
            <w:vAlign w:val="center"/>
          </w:tcPr>
          <w:p>
            <w:pPr>
              <w:jc w:val="left"/>
            </w:pPr>
            <w:r>
              <w:rPr>
                <w:b/>
                <w:bCs/>
                <w:color w:val="B03A2E"/>
                <w:sz w:val="18"/>
                <w:szCs w:val="18"/>
              </w:rPr>
              <w:t xml:space="preserve">0.00x–0.20x</w:t>
            </w:r>
          </w:p>
        </w:tc>
        <w:tc>
          <w:tcPr>
            <w:tcW w:type="dxa" w:w="2360"/>
            <w:tcMar>
              <w:top w:type="dxa" w:w="60"/>
              <w:left w:type="dxa" w:w="80"/>
              <w:bottom w:type="dxa" w:w="60"/>
              <w:right w:type="dxa" w:w="80"/>
            </w:tcMar>
            <w:vAlign w:val="center"/>
          </w:tcPr>
          <w:p>
            <w:pPr>
              <w:jc w:val="left"/>
            </w:pPr>
            <w:r>
              <w:rPr>
                <w:b w:val="false"/>
                <w:bCs w:val="false"/>
                <w:color w:val="000000"/>
                <w:sz w:val="18"/>
                <w:szCs w:val="18"/>
              </w:rPr>
              <w:t xml:space="preserve">Zero-return — kill all</w:t>
            </w:r>
          </w:p>
        </w:tc>
      </w:tr>
    </w:tbl>
    <w:p>
      <w:pPr>
        <w:spacing w:after="150"/>
      </w:pPr>
      <w:r>
        <w:rPr>
          <w:i/>
          <w:iCs/>
          <w:color w:val="6B6B6B"/>
          <w:sz w:val="18"/>
          <w:szCs w:val="18"/>
        </w:rPr>
        <w:t xml:space="preserve">*“TOF|Sale|India” shows a blended 1.63x ROAS across the full period, but that figure is entirely earned in March–April; the campaign has returned ₹8,400 total in June–August against ₹19,624 spent — effectively dead. This is a good example of why campaign-level totals alone are misleading (see 2.2).</w:t>
      </w:r>
    </w:p>
    <w:p>
      <w:pPr>
        <w:pStyle w:val="Heading2"/>
        <w:spacing w:after="150" w:before="300"/>
      </w:pPr>
      <w:r>
        <w:t xml:space="preserve">2.2 The saturation pattern (ad set / trend level) — the most important finding in the audit</w:t>
      </w:r>
    </w:p>
    <w:p>
      <w:pPr>
        <w:spacing w:after="150"/>
      </w:pPr>
      <w:r>
        <w:t xml:space="preserve">Two campaigns account for 46% of all spend and both show the same shape: strong ROAS at low spend, collapsing as spend scales. This is diminishing returns from audience/creative saturation, not a one-off dip.</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900"/>
        <w:gridCol w:w="1360"/>
        <w:gridCol w:w="1900"/>
      </w:tblGrid>
      <w:tr>
        <w:trPr>
          <w:tblHeader/>
        </w:trPr>
        <w:tc>
          <w:tcPr>
            <w:tcW w:type="dxa" w:w="3200"/>
            <w:shd w:fill="1F2A44" w:val="clear"/>
            <w:tcMar>
              <w:top w:type="dxa" w:w="60"/>
              <w:left w:type="dxa" w:w="80"/>
              <w:bottom w:type="dxa" w:w="60"/>
              <w:right w:type="dxa" w:w="80"/>
            </w:tcMar>
            <w:vAlign w:val="center"/>
          </w:tcPr>
          <w:p>
            <w:pPr>
              <w:jc w:val="left"/>
            </w:pPr>
            <w:r>
              <w:rPr>
                <w:b/>
                <w:bCs/>
                <w:color w:val="FFFFFF"/>
                <w:sz w:val="18"/>
                <w:szCs w:val="18"/>
              </w:rPr>
              <w:t xml:space="preserve">Campaign</w:t>
            </w:r>
          </w:p>
        </w:tc>
        <w:tc>
          <w:tcPr>
            <w:tcW w:type="dxa" w:w="1400"/>
            <w:shd w:fill="1F2A44" w:val="clear"/>
            <w:tcMar>
              <w:top w:type="dxa" w:w="60"/>
              <w:left w:type="dxa" w:w="80"/>
              <w:bottom w:type="dxa" w:w="60"/>
              <w:right w:type="dxa" w:w="80"/>
            </w:tcMar>
            <w:vAlign w:val="center"/>
          </w:tcPr>
          <w:p>
            <w:pPr>
              <w:jc w:val="left"/>
            </w:pPr>
            <w:r>
              <w:rPr>
                <w:b/>
                <w:bCs/>
                <w:color w:val="FFFFFF"/>
                <w:sz w:val="18"/>
                <w:szCs w:val="18"/>
              </w:rPr>
              <w:t xml:space="preserve">Month</w:t>
            </w:r>
          </w:p>
        </w:tc>
        <w:tc>
          <w:tcPr>
            <w:tcW w:type="dxa" w:w="1900"/>
            <w:shd w:fill="1F2A44" w:val="clear"/>
            <w:tcMar>
              <w:top w:type="dxa" w:w="60"/>
              <w:left w:type="dxa" w:w="80"/>
              <w:bottom w:type="dxa" w:w="60"/>
              <w:right w:type="dxa" w:w="80"/>
            </w:tcMar>
            <w:vAlign w:val="center"/>
          </w:tcPr>
          <w:p>
            <w:pPr>
              <w:jc w:val="left"/>
            </w:pPr>
            <w:r>
              <w:rPr>
                <w:b/>
                <w:bCs/>
                <w:color w:val="FFFFFF"/>
                <w:sz w:val="18"/>
                <w:szCs w:val="18"/>
              </w:rPr>
              <w:t xml:space="preserve">Spend (INR)</w:t>
            </w:r>
          </w:p>
        </w:tc>
        <w:tc>
          <w:tcPr>
            <w:tcW w:type="dxa" w:w="1360"/>
            <w:shd w:fill="1F2A44" w:val="clear"/>
            <w:tcMar>
              <w:top w:type="dxa" w:w="60"/>
              <w:left w:type="dxa" w:w="80"/>
              <w:bottom w:type="dxa" w:w="60"/>
              <w:right w:type="dxa" w:w="80"/>
            </w:tcMar>
            <w:vAlign w:val="center"/>
          </w:tcPr>
          <w:p>
            <w:pPr>
              <w:jc w:val="left"/>
            </w:pPr>
            <w:r>
              <w:rPr>
                <w:b/>
                <w:bCs/>
                <w:color w:val="FFFFFF"/>
                <w:sz w:val="18"/>
                <w:szCs w:val="18"/>
              </w:rPr>
              <w:t xml:space="preserve">ROAS</w:t>
            </w:r>
          </w:p>
        </w:tc>
        <w:tc>
          <w:tcPr>
            <w:tcW w:type="dxa" w:w="1900"/>
            <w:shd w:fill="1F2A44" w:val="clear"/>
            <w:tcMar>
              <w:top w:type="dxa" w:w="60"/>
              <w:left w:type="dxa" w:w="80"/>
              <w:bottom w:type="dxa" w:w="60"/>
              <w:right w:type="dxa" w:w="80"/>
            </w:tcMar>
            <w:vAlign w:val="center"/>
          </w:tcPr>
          <w:p>
            <w:pPr>
              <w:jc w:val="left"/>
            </w:pPr>
            <w:r>
              <w:rPr>
                <w:b/>
                <w:bCs/>
                <w:color w:val="FFFFFF"/>
                <w:sz w:val="18"/>
                <w:szCs w:val="18"/>
              </w:rPr>
              <w:t xml:space="preserve">Note</w:t>
            </w:r>
          </w:p>
        </w:tc>
      </w:tr>
      <w:tr>
        <w:tc>
          <w:tcPr>
            <w:tcW w:type="dxa" w:w="3200"/>
            <w:shd w:fill="F2F2F2" w:val="clear"/>
            <w:tcMar>
              <w:top w:type="dxa" w:w="60"/>
              <w:left w:type="dxa" w:w="80"/>
              <w:bottom w:type="dxa" w:w="60"/>
              <w:right w:type="dxa" w:w="80"/>
            </w:tcMar>
            <w:vAlign w:val="center"/>
          </w:tcPr>
          <w:p>
            <w:pPr>
              <w:jc w:val="left"/>
            </w:pPr>
            <w:r>
              <w:rPr>
                <w:b w:val="false"/>
                <w:bCs w:val="false"/>
                <w:color w:val="000000"/>
                <w:sz w:val="18"/>
                <w:szCs w:val="18"/>
              </w:rPr>
              <w:t xml:space="preserve">Conv|Tof|Multi Category|Ind|Direct</w:t>
            </w:r>
          </w:p>
        </w:tc>
        <w:tc>
          <w:tcPr>
            <w:tcW w:type="dxa" w:w="1400"/>
            <w:shd w:fill="F2F2F2" w:val="clear"/>
            <w:tcMar>
              <w:top w:type="dxa" w:w="60"/>
              <w:left w:type="dxa" w:w="80"/>
              <w:bottom w:type="dxa" w:w="60"/>
              <w:right w:type="dxa" w:w="80"/>
            </w:tcMar>
            <w:vAlign w:val="center"/>
          </w:tcPr>
          <w:p>
            <w:pPr>
              <w:jc w:val="left"/>
            </w:pPr>
            <w:r>
              <w:rPr>
                <w:b w:val="false"/>
                <w:bCs w:val="false"/>
                <w:color w:val="000000"/>
                <w:sz w:val="18"/>
                <w:szCs w:val="18"/>
              </w:rPr>
              <w:t xml:space="preserve">May</w:t>
            </w:r>
          </w:p>
        </w:tc>
        <w:tc>
          <w:tcPr>
            <w:tcW w:type="dxa" w:w="1900"/>
            <w:shd w:fill="F2F2F2" w:val="clear"/>
            <w:tcMar>
              <w:top w:type="dxa" w:w="60"/>
              <w:left w:type="dxa" w:w="80"/>
              <w:bottom w:type="dxa" w:w="60"/>
              <w:right w:type="dxa" w:w="80"/>
            </w:tcMar>
            <w:vAlign w:val="center"/>
          </w:tcPr>
          <w:p>
            <w:pPr>
              <w:jc w:val="left"/>
            </w:pPr>
            <w:r>
              <w:rPr>
                <w:b w:val="false"/>
                <w:bCs w:val="false"/>
                <w:color w:val="000000"/>
                <w:sz w:val="18"/>
                <w:szCs w:val="18"/>
              </w:rPr>
              <w:t xml:space="preserve">15,069</w:t>
            </w:r>
          </w:p>
        </w:tc>
        <w:tc>
          <w:tcPr>
            <w:tcW w:type="dxa" w:w="1360"/>
            <w:shd w:fill="F2F2F2" w:val="clear"/>
            <w:tcMar>
              <w:top w:type="dxa" w:w="60"/>
              <w:left w:type="dxa" w:w="80"/>
              <w:bottom w:type="dxa" w:w="60"/>
              <w:right w:type="dxa" w:w="80"/>
            </w:tcMar>
            <w:vAlign w:val="center"/>
          </w:tcPr>
          <w:p>
            <w:pPr>
              <w:jc w:val="left"/>
            </w:pPr>
            <w:r>
              <w:rPr>
                <w:b w:val="false"/>
                <w:bCs w:val="false"/>
                <w:color w:val="1E7B45"/>
                <w:sz w:val="18"/>
                <w:szCs w:val="18"/>
              </w:rPr>
              <w:t xml:space="preserve">6.99x</w:t>
            </w:r>
          </w:p>
        </w:tc>
        <w:tc>
          <w:tcPr>
            <w:tcW w:type="dxa" w:w="1900"/>
            <w:shd w:fill="F2F2F2" w:val="clear"/>
            <w:tcMar>
              <w:top w:type="dxa" w:w="60"/>
              <w:left w:type="dxa" w:w="80"/>
              <w:bottom w:type="dxa" w:w="60"/>
              <w:right w:type="dxa" w:w="80"/>
            </w:tcMar>
            <w:vAlign w:val="center"/>
          </w:tcPr>
          <w:p>
            <w:pPr>
              <w:jc w:val="left"/>
            </w:pPr>
            <w:r>
              <w:rPr>
                <w:b w:val="false"/>
                <w:bCs w:val="false"/>
                <w:color w:val="000000"/>
                <w:sz w:val="18"/>
                <w:szCs w:val="18"/>
              </w:rPr>
              <w:t xml:space="preserve">Small base</w:t>
            </w:r>
          </w:p>
        </w:tc>
      </w:tr>
      <w:tr>
        <w:tc>
          <w:tcPr>
            <w:tcW w:type="dxa" w:w="3200"/>
            <w:tcMar>
              <w:top w:type="dxa" w:w="60"/>
              <w:left w:type="dxa" w:w="80"/>
              <w:bottom w:type="dxa" w:w="60"/>
              <w:right w:type="dxa" w:w="80"/>
            </w:tcMar>
            <w:vAlign w:val="center"/>
          </w:tcPr>
          <w:p>
            <w:pPr>
              <w:jc w:val="left"/>
            </w:pPr>
            <w:r>
              <w:rPr>
                <w:b w:val="false"/>
                <w:bCs w:val="false"/>
                <w:color w:val="000000"/>
                <w:sz w:val="18"/>
                <w:szCs w:val="18"/>
              </w:rPr>
              <w:t xml:space="preserve"/>
            </w:r>
          </w:p>
        </w:tc>
        <w:tc>
          <w:tcPr>
            <w:tcW w:type="dxa" w:w="1400"/>
            <w:tcMar>
              <w:top w:type="dxa" w:w="60"/>
              <w:left w:type="dxa" w:w="80"/>
              <w:bottom w:type="dxa" w:w="60"/>
              <w:right w:type="dxa" w:w="80"/>
            </w:tcMar>
            <w:vAlign w:val="center"/>
          </w:tcPr>
          <w:p>
            <w:pPr>
              <w:jc w:val="left"/>
            </w:pPr>
            <w:r>
              <w:rPr>
                <w:b w:val="false"/>
                <w:bCs w:val="false"/>
                <w:color w:val="000000"/>
                <w:sz w:val="18"/>
                <w:szCs w:val="18"/>
              </w:rPr>
              <w:t xml:space="preserve">Jun</w:t>
            </w:r>
          </w:p>
        </w:tc>
        <w:tc>
          <w:tcPr>
            <w:tcW w:type="dxa" w:w="1900"/>
            <w:tcMar>
              <w:top w:type="dxa" w:w="60"/>
              <w:left w:type="dxa" w:w="80"/>
              <w:bottom w:type="dxa" w:w="60"/>
              <w:right w:type="dxa" w:w="80"/>
            </w:tcMar>
            <w:vAlign w:val="center"/>
          </w:tcPr>
          <w:p>
            <w:pPr>
              <w:jc w:val="left"/>
            </w:pPr>
            <w:r>
              <w:rPr>
                <w:b w:val="false"/>
                <w:bCs w:val="false"/>
                <w:color w:val="000000"/>
                <w:sz w:val="18"/>
                <w:szCs w:val="18"/>
              </w:rPr>
              <w:t xml:space="preserve">3,03,221</w:t>
            </w:r>
          </w:p>
        </w:tc>
        <w:tc>
          <w:tcPr>
            <w:tcW w:type="dxa" w:w="1360"/>
            <w:tcMar>
              <w:top w:type="dxa" w:w="60"/>
              <w:left w:type="dxa" w:w="80"/>
              <w:bottom w:type="dxa" w:w="60"/>
              <w:right w:type="dxa" w:w="80"/>
            </w:tcMar>
            <w:vAlign w:val="center"/>
          </w:tcPr>
          <w:p>
            <w:pPr>
              <w:jc w:val="left"/>
            </w:pPr>
            <w:r>
              <w:rPr>
                <w:b w:val="false"/>
                <w:bCs w:val="false"/>
                <w:color w:val="000000"/>
                <w:sz w:val="18"/>
                <w:szCs w:val="18"/>
              </w:rPr>
              <w:t xml:space="preserve">2.13x</w:t>
            </w:r>
          </w:p>
        </w:tc>
        <w:tc>
          <w:tcPr>
            <w:tcW w:type="dxa" w:w="1900"/>
            <w:tcMar>
              <w:top w:type="dxa" w:w="60"/>
              <w:left w:type="dxa" w:w="80"/>
              <w:bottom w:type="dxa" w:w="60"/>
              <w:right w:type="dxa" w:w="80"/>
            </w:tcMar>
            <w:vAlign w:val="center"/>
          </w:tcPr>
          <w:p>
            <w:pPr>
              <w:jc w:val="left"/>
            </w:pPr>
            <w:r>
              <w:rPr>
                <w:b w:val="false"/>
                <w:bCs w:val="false"/>
                <w:color w:val="000000"/>
                <w:sz w:val="18"/>
                <w:szCs w:val="18"/>
              </w:rPr>
              <w:t xml:space="preserve">Spend x20</w:t>
            </w:r>
          </w:p>
        </w:tc>
      </w:tr>
      <w:tr>
        <w:tc>
          <w:tcPr>
            <w:tcW w:type="dxa" w:w="3200"/>
            <w:shd w:fill="F2F2F2" w:val="clear"/>
            <w:tcMar>
              <w:top w:type="dxa" w:w="60"/>
              <w:left w:type="dxa" w:w="80"/>
              <w:bottom w:type="dxa" w:w="60"/>
              <w:right w:type="dxa" w:w="80"/>
            </w:tcMar>
            <w:vAlign w:val="center"/>
          </w:tcPr>
          <w:p>
            <w:pPr>
              <w:jc w:val="left"/>
            </w:pPr>
            <w:r>
              <w:rPr>
                <w:b w:val="false"/>
                <w:bCs w:val="false"/>
                <w:color w:val="000000"/>
                <w:sz w:val="18"/>
                <w:szCs w:val="18"/>
              </w:rPr>
              <w:t xml:space="preserve"/>
            </w:r>
          </w:p>
        </w:tc>
        <w:tc>
          <w:tcPr>
            <w:tcW w:type="dxa" w:w="1400"/>
            <w:shd w:fill="F2F2F2" w:val="clear"/>
            <w:tcMar>
              <w:top w:type="dxa" w:w="60"/>
              <w:left w:type="dxa" w:w="80"/>
              <w:bottom w:type="dxa" w:w="60"/>
              <w:right w:type="dxa" w:w="80"/>
            </w:tcMar>
            <w:vAlign w:val="center"/>
          </w:tcPr>
          <w:p>
            <w:pPr>
              <w:jc w:val="left"/>
            </w:pPr>
            <w:r>
              <w:rPr>
                <w:b w:val="false"/>
                <w:bCs w:val="false"/>
                <w:color w:val="000000"/>
                <w:sz w:val="18"/>
                <w:szCs w:val="18"/>
              </w:rPr>
              <w:t xml:space="preserve">Jul</w:t>
            </w:r>
          </w:p>
        </w:tc>
        <w:tc>
          <w:tcPr>
            <w:tcW w:type="dxa" w:w="1900"/>
            <w:shd w:fill="F2F2F2" w:val="clear"/>
            <w:tcMar>
              <w:top w:type="dxa" w:w="60"/>
              <w:left w:type="dxa" w:w="80"/>
              <w:bottom w:type="dxa" w:w="60"/>
              <w:right w:type="dxa" w:w="80"/>
            </w:tcMar>
            <w:vAlign w:val="center"/>
          </w:tcPr>
          <w:p>
            <w:pPr>
              <w:jc w:val="left"/>
            </w:pPr>
            <w:r>
              <w:rPr>
                <w:b w:val="false"/>
                <w:bCs w:val="false"/>
                <w:color w:val="000000"/>
                <w:sz w:val="18"/>
                <w:szCs w:val="18"/>
              </w:rPr>
              <w:t xml:space="preserve">4,28,305</w:t>
            </w:r>
          </w:p>
        </w:tc>
        <w:tc>
          <w:tcPr>
            <w:tcW w:type="dxa" w:w="1360"/>
            <w:shd w:fill="F2F2F2" w:val="clear"/>
            <w:tcMar>
              <w:top w:type="dxa" w:w="60"/>
              <w:left w:type="dxa" w:w="80"/>
              <w:bottom w:type="dxa" w:w="60"/>
              <w:right w:type="dxa" w:w="80"/>
            </w:tcMar>
            <w:vAlign w:val="center"/>
          </w:tcPr>
          <w:p>
            <w:pPr>
              <w:jc w:val="left"/>
            </w:pPr>
            <w:r>
              <w:rPr>
                <w:b w:val="false"/>
                <w:bCs w:val="false"/>
                <w:color w:val="000000"/>
                <w:sz w:val="18"/>
                <w:szCs w:val="18"/>
              </w:rPr>
              <w:t xml:space="preserve">1.75x</w:t>
            </w:r>
          </w:p>
        </w:tc>
        <w:tc>
          <w:tcPr>
            <w:tcW w:type="dxa" w:w="1900"/>
            <w:shd w:fill="F2F2F2" w:val="clear"/>
            <w:tcMar>
              <w:top w:type="dxa" w:w="60"/>
              <w:left w:type="dxa" w:w="80"/>
              <w:bottom w:type="dxa" w:w="60"/>
              <w:right w:type="dxa" w:w="80"/>
            </w:tcMar>
            <w:vAlign w:val="center"/>
          </w:tcPr>
          <w:p>
            <w:pPr>
              <w:jc w:val="left"/>
            </w:pPr>
            <w:r>
              <w:rPr>
                <w:b w:val="false"/>
                <w:bCs w:val="false"/>
                <w:color w:val="000000"/>
                <w:sz w:val="18"/>
                <w:szCs w:val="18"/>
              </w:rPr>
              <w:t xml:space="preserve">↓ further</w:t>
            </w:r>
          </w:p>
        </w:tc>
      </w:tr>
      <w:tr>
        <w:tc>
          <w:tcPr>
            <w:tcW w:type="dxa" w:w="3200"/>
            <w:tcMar>
              <w:top w:type="dxa" w:w="60"/>
              <w:left w:type="dxa" w:w="80"/>
              <w:bottom w:type="dxa" w:w="60"/>
              <w:right w:type="dxa" w:w="80"/>
            </w:tcMar>
            <w:vAlign w:val="center"/>
          </w:tcPr>
          <w:p>
            <w:pPr>
              <w:jc w:val="left"/>
            </w:pPr>
            <w:r>
              <w:rPr>
                <w:b w:val="false"/>
                <w:bCs w:val="false"/>
                <w:color w:val="000000"/>
                <w:sz w:val="18"/>
                <w:szCs w:val="18"/>
              </w:rPr>
              <w:t xml:space="preserve"/>
            </w:r>
          </w:p>
        </w:tc>
        <w:tc>
          <w:tcPr>
            <w:tcW w:type="dxa" w:w="1400"/>
            <w:tcMar>
              <w:top w:type="dxa" w:w="60"/>
              <w:left w:type="dxa" w:w="80"/>
              <w:bottom w:type="dxa" w:w="60"/>
              <w:right w:type="dxa" w:w="80"/>
            </w:tcMar>
            <w:vAlign w:val="center"/>
          </w:tcPr>
          <w:p>
            <w:pPr>
              <w:jc w:val="left"/>
            </w:pPr>
            <w:r>
              <w:rPr>
                <w:b w:val="false"/>
                <w:bCs w:val="false"/>
                <w:color w:val="000000"/>
                <w:sz w:val="18"/>
                <w:szCs w:val="18"/>
              </w:rPr>
              <w:t xml:space="preserve">Aug</w:t>
            </w:r>
          </w:p>
        </w:tc>
        <w:tc>
          <w:tcPr>
            <w:tcW w:type="dxa" w:w="1900"/>
            <w:tcMar>
              <w:top w:type="dxa" w:w="60"/>
              <w:left w:type="dxa" w:w="80"/>
              <w:bottom w:type="dxa" w:w="60"/>
              <w:right w:type="dxa" w:w="80"/>
            </w:tcMar>
            <w:vAlign w:val="center"/>
          </w:tcPr>
          <w:p>
            <w:pPr>
              <w:jc w:val="left"/>
            </w:pPr>
            <w:r>
              <w:rPr>
                <w:b w:val="false"/>
                <w:bCs w:val="false"/>
                <w:color w:val="000000"/>
                <w:sz w:val="18"/>
                <w:szCs w:val="18"/>
              </w:rPr>
              <w:t xml:space="preserve">5,27,197</w:t>
            </w:r>
          </w:p>
        </w:tc>
        <w:tc>
          <w:tcPr>
            <w:tcW w:type="dxa" w:w="1360"/>
            <w:tcMar>
              <w:top w:type="dxa" w:w="60"/>
              <w:left w:type="dxa" w:w="80"/>
              <w:bottom w:type="dxa" w:w="60"/>
              <w:right w:type="dxa" w:w="80"/>
            </w:tcMar>
            <w:vAlign w:val="center"/>
          </w:tcPr>
          <w:p>
            <w:pPr>
              <w:jc w:val="left"/>
            </w:pPr>
            <w:r>
              <w:rPr>
                <w:b/>
                <w:bCs/>
                <w:color w:val="B03A2E"/>
                <w:sz w:val="18"/>
                <w:szCs w:val="18"/>
              </w:rPr>
              <w:t xml:space="preserve">1.43x</w:t>
            </w:r>
          </w:p>
        </w:tc>
        <w:tc>
          <w:tcPr>
            <w:tcW w:type="dxa" w:w="1900"/>
            <w:tcMar>
              <w:top w:type="dxa" w:w="60"/>
              <w:left w:type="dxa" w:w="80"/>
              <w:bottom w:type="dxa" w:w="60"/>
              <w:right w:type="dxa" w:w="80"/>
            </w:tcMar>
            <w:vAlign w:val="center"/>
          </w:tcPr>
          <w:p>
            <w:pPr>
              <w:jc w:val="left"/>
            </w:pPr>
            <w:r>
              <w:rPr>
                <w:b w:val="false"/>
                <w:bCs w:val="false"/>
                <w:color w:val="000000"/>
                <w:sz w:val="18"/>
                <w:szCs w:val="18"/>
              </w:rPr>
              <w:t xml:space="preserve">Still scaling, still falling</w:t>
            </w:r>
          </w:p>
        </w:tc>
      </w:tr>
      <w:tr>
        <w:tc>
          <w:tcPr>
            <w:tcW w:type="dxa" w:w="3200"/>
            <w:shd w:fill="F2F2F2" w:val="clear"/>
            <w:tcMar>
              <w:top w:type="dxa" w:w="60"/>
              <w:left w:type="dxa" w:w="80"/>
              <w:bottom w:type="dxa" w:w="60"/>
              <w:right w:type="dxa" w:w="80"/>
            </w:tcMar>
            <w:vAlign w:val="center"/>
          </w:tcPr>
          <w:p>
            <w:pPr>
              <w:jc w:val="left"/>
            </w:pPr>
            <w:r>
              <w:rPr>
                <w:b w:val="false"/>
                <w:bCs w:val="false"/>
                <w:color w:val="000000"/>
                <w:sz w:val="18"/>
                <w:szCs w:val="18"/>
              </w:rPr>
              <w:t xml:space="preserve">MOF &amp; BOF|Sale|India+intl</w:t>
            </w:r>
          </w:p>
        </w:tc>
        <w:tc>
          <w:tcPr>
            <w:tcW w:type="dxa" w:w="1400"/>
            <w:shd w:fill="F2F2F2" w:val="clear"/>
            <w:tcMar>
              <w:top w:type="dxa" w:w="60"/>
              <w:left w:type="dxa" w:w="80"/>
              <w:bottom w:type="dxa" w:w="60"/>
              <w:right w:type="dxa" w:w="80"/>
            </w:tcMar>
            <w:vAlign w:val="center"/>
          </w:tcPr>
          <w:p>
            <w:pPr>
              <w:jc w:val="left"/>
            </w:pPr>
            <w:r>
              <w:rPr>
                <w:b w:val="false"/>
                <w:bCs w:val="false"/>
                <w:color w:val="000000"/>
                <w:sz w:val="18"/>
                <w:szCs w:val="18"/>
              </w:rPr>
              <w:t xml:space="preserve">May</w:t>
            </w:r>
          </w:p>
        </w:tc>
        <w:tc>
          <w:tcPr>
            <w:tcW w:type="dxa" w:w="1900"/>
            <w:shd w:fill="F2F2F2" w:val="clear"/>
            <w:tcMar>
              <w:top w:type="dxa" w:w="60"/>
              <w:left w:type="dxa" w:w="80"/>
              <w:bottom w:type="dxa" w:w="60"/>
              <w:right w:type="dxa" w:w="80"/>
            </w:tcMar>
            <w:vAlign w:val="center"/>
          </w:tcPr>
          <w:p>
            <w:pPr>
              <w:jc w:val="left"/>
            </w:pPr>
            <w:r>
              <w:rPr>
                <w:b w:val="false"/>
                <w:bCs w:val="false"/>
                <w:color w:val="000000"/>
                <w:sz w:val="18"/>
                <w:szCs w:val="18"/>
              </w:rPr>
              <w:t xml:space="preserve">1,56,219</w:t>
            </w:r>
          </w:p>
        </w:tc>
        <w:tc>
          <w:tcPr>
            <w:tcW w:type="dxa" w:w="1360"/>
            <w:shd w:fill="F2F2F2" w:val="clear"/>
            <w:tcMar>
              <w:top w:type="dxa" w:w="60"/>
              <w:left w:type="dxa" w:w="80"/>
              <w:bottom w:type="dxa" w:w="60"/>
              <w:right w:type="dxa" w:w="80"/>
            </w:tcMar>
            <w:vAlign w:val="center"/>
          </w:tcPr>
          <w:p>
            <w:pPr>
              <w:jc w:val="left"/>
            </w:pPr>
            <w:r>
              <w:rPr>
                <w:b w:val="false"/>
                <w:bCs w:val="false"/>
                <w:color w:val="1E7B45"/>
                <w:sz w:val="18"/>
                <w:szCs w:val="18"/>
              </w:rPr>
              <w:t xml:space="preserve">3.07x</w:t>
            </w:r>
          </w:p>
        </w:tc>
        <w:tc>
          <w:tcPr>
            <w:tcW w:type="dxa" w:w="1900"/>
            <w:shd w:fill="F2F2F2" w:val="clear"/>
            <w:tcMar>
              <w:top w:type="dxa" w:w="60"/>
              <w:left w:type="dxa" w:w="80"/>
              <w:bottom w:type="dxa" w:w="60"/>
              <w:right w:type="dxa" w:w="80"/>
            </w:tcMar>
            <w:vAlign w:val="center"/>
          </w:tcPr>
          <w:p>
            <w:pPr>
              <w:jc w:val="left"/>
            </w:pPr>
            <w:r>
              <w:rPr>
                <w:b w:val="false"/>
                <w:bCs w:val="false"/>
                <w:color w:val="000000"/>
                <w:sz w:val="18"/>
                <w:szCs w:val="18"/>
              </w:rPr>
              <w:t xml:space="preserve">Peak</w:t>
            </w:r>
          </w:p>
        </w:tc>
      </w:tr>
      <w:tr>
        <w:tc>
          <w:tcPr>
            <w:tcW w:type="dxa" w:w="3200"/>
            <w:tcMar>
              <w:top w:type="dxa" w:w="60"/>
              <w:left w:type="dxa" w:w="80"/>
              <w:bottom w:type="dxa" w:w="60"/>
              <w:right w:type="dxa" w:w="80"/>
            </w:tcMar>
            <w:vAlign w:val="center"/>
          </w:tcPr>
          <w:p>
            <w:pPr>
              <w:jc w:val="left"/>
            </w:pPr>
            <w:r>
              <w:rPr>
                <w:b w:val="false"/>
                <w:bCs w:val="false"/>
                <w:color w:val="000000"/>
                <w:sz w:val="18"/>
                <w:szCs w:val="18"/>
              </w:rPr>
              <w:t xml:space="preserve"/>
            </w:r>
          </w:p>
        </w:tc>
        <w:tc>
          <w:tcPr>
            <w:tcW w:type="dxa" w:w="1400"/>
            <w:tcMar>
              <w:top w:type="dxa" w:w="60"/>
              <w:left w:type="dxa" w:w="80"/>
              <w:bottom w:type="dxa" w:w="60"/>
              <w:right w:type="dxa" w:w="80"/>
            </w:tcMar>
            <w:vAlign w:val="center"/>
          </w:tcPr>
          <w:p>
            <w:pPr>
              <w:jc w:val="left"/>
            </w:pPr>
            <w:r>
              <w:rPr>
                <w:b w:val="false"/>
                <w:bCs w:val="false"/>
                <w:color w:val="000000"/>
                <w:sz w:val="18"/>
                <w:szCs w:val="18"/>
              </w:rPr>
              <w:t xml:space="preserve">Jun</w:t>
            </w:r>
          </w:p>
        </w:tc>
        <w:tc>
          <w:tcPr>
            <w:tcW w:type="dxa" w:w="1900"/>
            <w:tcMar>
              <w:top w:type="dxa" w:w="60"/>
              <w:left w:type="dxa" w:w="80"/>
              <w:bottom w:type="dxa" w:w="60"/>
              <w:right w:type="dxa" w:w="80"/>
            </w:tcMar>
            <w:vAlign w:val="center"/>
          </w:tcPr>
          <w:p>
            <w:pPr>
              <w:jc w:val="left"/>
            </w:pPr>
            <w:r>
              <w:rPr>
                <w:b w:val="false"/>
                <w:bCs w:val="false"/>
                <w:color w:val="000000"/>
                <w:sz w:val="18"/>
                <w:szCs w:val="18"/>
              </w:rPr>
              <w:t xml:space="preserve">4,61,046</w:t>
            </w:r>
          </w:p>
        </w:tc>
        <w:tc>
          <w:tcPr>
            <w:tcW w:type="dxa" w:w="1360"/>
            <w:tcMar>
              <w:top w:type="dxa" w:w="60"/>
              <w:left w:type="dxa" w:w="80"/>
              <w:bottom w:type="dxa" w:w="60"/>
              <w:right w:type="dxa" w:w="80"/>
            </w:tcMar>
            <w:vAlign w:val="center"/>
          </w:tcPr>
          <w:p>
            <w:pPr>
              <w:jc w:val="left"/>
            </w:pPr>
            <w:r>
              <w:rPr>
                <w:b w:val="false"/>
                <w:bCs w:val="false"/>
                <w:color w:val="000000"/>
                <w:sz w:val="18"/>
                <w:szCs w:val="18"/>
              </w:rPr>
              <w:t xml:space="preserve">2.79x</w:t>
            </w:r>
          </w:p>
        </w:tc>
        <w:tc>
          <w:tcPr>
            <w:tcW w:type="dxa" w:w="1900"/>
            <w:tcMar>
              <w:top w:type="dxa" w:w="60"/>
              <w:left w:type="dxa" w:w="80"/>
              <w:bottom w:type="dxa" w:w="60"/>
              <w:right w:type="dxa" w:w="80"/>
            </w:tcMar>
            <w:vAlign w:val="center"/>
          </w:tcPr>
          <w:p>
            <w:pPr>
              <w:jc w:val="left"/>
            </w:pPr>
            <w:r>
              <w:rPr>
                <w:b w:val="false"/>
                <w:bCs w:val="false"/>
                <w:color w:val="000000"/>
                <w:sz w:val="18"/>
                <w:szCs w:val="18"/>
              </w:rPr>
              <w:t xml:space="preserve">Spend x3</w:t>
            </w:r>
          </w:p>
        </w:tc>
      </w:tr>
      <w:tr>
        <w:tc>
          <w:tcPr>
            <w:tcW w:type="dxa" w:w="3200"/>
            <w:shd w:fill="F2F2F2" w:val="clear"/>
            <w:tcMar>
              <w:top w:type="dxa" w:w="60"/>
              <w:left w:type="dxa" w:w="80"/>
              <w:bottom w:type="dxa" w:w="60"/>
              <w:right w:type="dxa" w:w="80"/>
            </w:tcMar>
            <w:vAlign w:val="center"/>
          </w:tcPr>
          <w:p>
            <w:pPr>
              <w:jc w:val="left"/>
            </w:pPr>
            <w:r>
              <w:rPr>
                <w:b w:val="false"/>
                <w:bCs w:val="false"/>
                <w:color w:val="000000"/>
                <w:sz w:val="18"/>
                <w:szCs w:val="18"/>
              </w:rPr>
              <w:t xml:space="preserve"/>
            </w:r>
          </w:p>
        </w:tc>
        <w:tc>
          <w:tcPr>
            <w:tcW w:type="dxa" w:w="1400"/>
            <w:shd w:fill="F2F2F2" w:val="clear"/>
            <w:tcMar>
              <w:top w:type="dxa" w:w="60"/>
              <w:left w:type="dxa" w:w="80"/>
              <w:bottom w:type="dxa" w:w="60"/>
              <w:right w:type="dxa" w:w="80"/>
            </w:tcMar>
            <w:vAlign w:val="center"/>
          </w:tcPr>
          <w:p>
            <w:pPr>
              <w:jc w:val="left"/>
            </w:pPr>
            <w:r>
              <w:rPr>
                <w:b w:val="false"/>
                <w:bCs w:val="false"/>
                <w:color w:val="000000"/>
                <w:sz w:val="18"/>
                <w:szCs w:val="18"/>
              </w:rPr>
              <w:t xml:space="preserve">Jul</w:t>
            </w:r>
          </w:p>
        </w:tc>
        <w:tc>
          <w:tcPr>
            <w:tcW w:type="dxa" w:w="1900"/>
            <w:shd w:fill="F2F2F2" w:val="clear"/>
            <w:tcMar>
              <w:top w:type="dxa" w:w="60"/>
              <w:left w:type="dxa" w:w="80"/>
              <w:bottom w:type="dxa" w:w="60"/>
              <w:right w:type="dxa" w:w="80"/>
            </w:tcMar>
            <w:vAlign w:val="center"/>
          </w:tcPr>
          <w:p>
            <w:pPr>
              <w:jc w:val="left"/>
            </w:pPr>
            <w:r>
              <w:rPr>
                <w:b w:val="false"/>
                <w:bCs w:val="false"/>
                <w:color w:val="000000"/>
                <w:sz w:val="18"/>
                <w:szCs w:val="18"/>
              </w:rPr>
              <w:t xml:space="preserve">4,32,403</w:t>
            </w:r>
          </w:p>
        </w:tc>
        <w:tc>
          <w:tcPr>
            <w:tcW w:type="dxa" w:w="1360"/>
            <w:shd w:fill="F2F2F2" w:val="clear"/>
            <w:tcMar>
              <w:top w:type="dxa" w:w="60"/>
              <w:left w:type="dxa" w:w="80"/>
              <w:bottom w:type="dxa" w:w="60"/>
              <w:right w:type="dxa" w:w="80"/>
            </w:tcMar>
            <w:vAlign w:val="center"/>
          </w:tcPr>
          <w:p>
            <w:pPr>
              <w:jc w:val="left"/>
            </w:pPr>
            <w:r>
              <w:rPr>
                <w:b w:val="false"/>
                <w:bCs w:val="false"/>
                <w:color w:val="000000"/>
                <w:sz w:val="18"/>
                <w:szCs w:val="18"/>
              </w:rPr>
              <w:t xml:space="preserve">2.00x</w:t>
            </w:r>
          </w:p>
        </w:tc>
        <w:tc>
          <w:tcPr>
            <w:tcW w:type="dxa" w:w="1900"/>
            <w:shd w:fill="F2F2F2" w:val="clear"/>
            <w:tcMar>
              <w:top w:type="dxa" w:w="60"/>
              <w:left w:type="dxa" w:w="80"/>
              <w:bottom w:type="dxa" w:w="60"/>
              <w:right w:type="dxa" w:w="80"/>
            </w:tcMar>
            <w:vAlign w:val="center"/>
          </w:tcPr>
          <w:p>
            <w:pPr>
              <w:jc w:val="left"/>
            </w:pPr>
            <w:r>
              <w:rPr>
                <w:b w:val="false"/>
                <w:bCs w:val="false"/>
                <w:color w:val="000000"/>
                <w:sz w:val="18"/>
                <w:szCs w:val="18"/>
              </w:rPr>
              <w:t xml:space="preserve">↓</w:t>
            </w:r>
          </w:p>
        </w:tc>
      </w:tr>
      <w:tr>
        <w:tc>
          <w:tcPr>
            <w:tcW w:type="dxa" w:w="3200"/>
            <w:tcMar>
              <w:top w:type="dxa" w:w="60"/>
              <w:left w:type="dxa" w:w="80"/>
              <w:bottom w:type="dxa" w:w="60"/>
              <w:right w:type="dxa" w:w="80"/>
            </w:tcMar>
            <w:vAlign w:val="center"/>
          </w:tcPr>
          <w:p>
            <w:pPr>
              <w:jc w:val="left"/>
            </w:pPr>
            <w:r>
              <w:rPr>
                <w:b w:val="false"/>
                <w:bCs w:val="false"/>
                <w:color w:val="000000"/>
                <w:sz w:val="18"/>
                <w:szCs w:val="18"/>
              </w:rPr>
              <w:t xml:space="preserve"/>
            </w:r>
          </w:p>
        </w:tc>
        <w:tc>
          <w:tcPr>
            <w:tcW w:type="dxa" w:w="1400"/>
            <w:tcMar>
              <w:top w:type="dxa" w:w="60"/>
              <w:left w:type="dxa" w:w="80"/>
              <w:bottom w:type="dxa" w:w="60"/>
              <w:right w:type="dxa" w:w="80"/>
            </w:tcMar>
            <w:vAlign w:val="center"/>
          </w:tcPr>
          <w:p>
            <w:pPr>
              <w:jc w:val="left"/>
            </w:pPr>
            <w:r>
              <w:rPr>
                <w:b w:val="false"/>
                <w:bCs w:val="false"/>
                <w:color w:val="000000"/>
                <w:sz w:val="18"/>
                <w:szCs w:val="18"/>
              </w:rPr>
              <w:t xml:space="preserve">Aug</w:t>
            </w:r>
          </w:p>
        </w:tc>
        <w:tc>
          <w:tcPr>
            <w:tcW w:type="dxa" w:w="1900"/>
            <w:tcMar>
              <w:top w:type="dxa" w:w="60"/>
              <w:left w:type="dxa" w:w="80"/>
              <w:bottom w:type="dxa" w:w="60"/>
              <w:right w:type="dxa" w:w="80"/>
            </w:tcMar>
            <w:vAlign w:val="center"/>
          </w:tcPr>
          <w:p>
            <w:pPr>
              <w:jc w:val="left"/>
            </w:pPr>
            <w:r>
              <w:rPr>
                <w:b w:val="false"/>
                <w:bCs w:val="false"/>
                <w:color w:val="000000"/>
                <w:sz w:val="18"/>
                <w:szCs w:val="18"/>
              </w:rPr>
              <w:t xml:space="preserve">2,85,965</w:t>
            </w:r>
          </w:p>
        </w:tc>
        <w:tc>
          <w:tcPr>
            <w:tcW w:type="dxa" w:w="1360"/>
            <w:tcMar>
              <w:top w:type="dxa" w:w="60"/>
              <w:left w:type="dxa" w:w="80"/>
              <w:bottom w:type="dxa" w:w="60"/>
              <w:right w:type="dxa" w:w="80"/>
            </w:tcMar>
            <w:vAlign w:val="center"/>
          </w:tcPr>
          <w:p>
            <w:pPr>
              <w:jc w:val="left"/>
            </w:pPr>
            <w:r>
              <w:rPr>
                <w:b/>
                <w:bCs/>
                <w:color w:val="B03A2E"/>
                <w:sz w:val="18"/>
                <w:szCs w:val="18"/>
              </w:rPr>
              <w:t xml:space="preserve">1.19x</w:t>
            </w:r>
          </w:p>
        </w:tc>
        <w:tc>
          <w:tcPr>
            <w:tcW w:type="dxa" w:w="1900"/>
            <w:tcMar>
              <w:top w:type="dxa" w:w="60"/>
              <w:left w:type="dxa" w:w="80"/>
              <w:bottom w:type="dxa" w:w="60"/>
              <w:right w:type="dxa" w:w="80"/>
            </w:tcMar>
            <w:vAlign w:val="center"/>
          </w:tcPr>
          <w:p>
            <w:pPr>
              <w:jc w:val="left"/>
            </w:pPr>
            <w:r>
              <w:rPr>
                <w:b w:val="false"/>
                <w:bCs w:val="false"/>
                <w:color w:val="000000"/>
                <w:sz w:val="18"/>
                <w:szCs w:val="18"/>
              </w:rPr>
              <w:t xml:space="preserve">Spend cut, ROAS still fell</w:t>
            </w:r>
          </w:p>
        </w:tc>
      </w:tr>
    </w:tbl>
    <w:p>
      <w:pPr>
        <w:spacing w:after="150"/>
      </w:pPr>
      <w:r>
        <w:t xml:space="preserve">Note the second campaign: spend was already being pulled back in August (₹4.32L → ₹2.86L) and ROAS still fell (2.00x → 1.19x). That rules out “just reduce spend and efficiency recovers” as a complete fix — the creative/audience itself needs refreshing, not just a smaller budget. This is stated as proof (it's directly in the numbers); the underlying cause (creative fatigue vs. audience exhaustion vs. rising competition) is a hypothesis, addressed in Section 4.</w:t>
      </w:r>
    </w:p>
    <w:p>
      <w:pPr>
        <w:pStyle w:val="Heading2"/>
        <w:spacing w:after="150" w:before="300"/>
      </w:pPr>
      <w:r>
        <w:t xml:space="preserve">2.3 Ad / creative level — what's working within the audit</w:t>
      </w:r>
    </w:p>
    <w:p>
      <w:pPr>
        <w:pStyle w:val="ListParagraph"/>
        <w:numPr>
          <w:ilvl w:val="0"/>
          <w:numId w:val="1"/>
        </w:numPr>
        <w:spacing w:after="80"/>
      </w:pPr>
      <w:r>
        <w:t xml:space="preserve">Best-performing ad set: “Ecomm | Mof + Bof &amp; retargeting – India” (₹4.87L spend, 2.52x ROAS) — retargeting within the biggest campaign is holding up better than its prospecting counterpart.</w:t>
      </w:r>
    </w:p>
    <w:p>
      <w:pPr>
        <w:pStyle w:val="ListParagraph"/>
        <w:numPr>
          <w:ilvl w:val="0"/>
          <w:numId w:val="1"/>
        </w:numPr>
        <w:spacing w:after="80"/>
      </w:pPr>
      <w:r>
        <w:t xml:space="preserve">Best-performing large creative: “Catalogue | Carousal | Top Selling Products | PLP” within MOF&amp;BOF (₹1.41L spend, 3.72x ROAS) — bestseller-led catalog creative outperforms generic catalog creative by a wide margin. This is a directly actionable creative signal (Section 4).</w:t>
      </w:r>
    </w:p>
    <w:p>
      <w:pPr>
        <w:pStyle w:val="ListParagraph"/>
        <w:numPr>
          <w:ilvl w:val="0"/>
          <w:numId w:val="1"/>
        </w:numPr>
        <w:spacing w:after="80"/>
      </w:pPr>
      <w:r>
        <w:t xml:space="preserve">The US “Above 15K BAU” carousel (₹3.16L spend) is the one major creative getting more efficient as it scales — CTR held near 8–9% and ROAS climbed from 1.00x to 3.19x to 2.63x over three months. Worth studying as a template.</w:t>
      </w:r>
    </w:p>
    <w:p>
      <w:pPr>
        <w:pStyle w:val="ListParagraph"/>
        <w:numPr>
          <w:ilvl w:val="0"/>
          <w:numId w:val="1"/>
        </w:numPr>
        <w:spacing w:after="80"/>
      </w:pPr>
      <w:r>
        <w:t xml:space="preserve">Zero-return waste is concentrated in wrong-objective campaigns (Engagement, Traffic, Awareness) running against a sales goal — these were never going to show conversion value and should not be funded from a sales-growth budget.</w:t>
      </w:r>
    </w:p>
    <w:p>
      <w:pPr>
        <w:sectPr>
          <w:headerReference w:type="default" r:id="rId11"/>
          <w:footerReference w:type="default" r:id="rId12"/>
          <w:pgSz w:w="12240" w:h="15840" w:orient="portrait"/>
          <w:pgMar w:top="720" w:right="720" w:bottom="720" w:left="720" w:header="708" w:footer="708" w:gutter="0"/>
          <w:pgNumType/>
          <w:docGrid w:linePitch="360"/>
        </w:sectPr>
      </w:pPr>
    </w:p>
    <w:p>
      <w:pPr>
        <w:pStyle w:val="Heading1"/>
        <w:spacing w:after="200" w:before="400"/>
      </w:pPr>
      <w:r>
        <w:t xml:space="preserve">3. Budget Reallocation Plan</w:t>
      </w:r>
    </w:p>
    <w:p>
      <w:pPr>
        <w:spacing w:after="150"/>
      </w:pPr>
      <w:r>
        <w:t xml:space="preserve">Total budget is unchanged at ₹62,80,407. Every rupee moved has a named destination and a stated reason. Figures are rounded for planning purposes; the plan nets to the original total within rounding.</w:t>
      </w:r>
    </w:p>
    <w:tbl>
      <w:tblPr>
        <w:tblW w:type="dxa" w:w="14100"/>
        <w:tblBorders>
          <w:top w:val="single" w:color="auto" w:sz="4"/>
          <w:left w:val="single" w:color="auto" w:sz="4"/>
          <w:bottom w:val="single" w:color="auto" w:sz="4"/>
          <w:right w:val="single" w:color="auto" w:sz="4"/>
          <w:insideH w:val="single" w:color="auto" w:sz="4"/>
          <w:insideV w:val="single" w:color="auto" w:sz="4"/>
        </w:tblBorders>
      </w:tblPr>
      <w:tblGrid>
        <w:gridCol w:w="3600"/>
        <w:gridCol w:w="1100"/>
        <w:gridCol w:w="1500"/>
        <w:gridCol w:w="1500"/>
        <w:gridCol w:w="1400"/>
        <w:gridCol w:w="1100"/>
        <w:gridCol w:w="3900"/>
      </w:tblGrid>
      <w:tr>
        <w:trPr>
          <w:tblHeader/>
        </w:trPr>
        <w:tc>
          <w:tcPr>
            <w:tcW w:type="dxa" w:w="3600"/>
            <w:shd w:fill="1F2A44" w:val="clear"/>
            <w:tcMar>
              <w:top w:type="dxa" w:w="60"/>
              <w:left w:type="dxa" w:w="80"/>
              <w:bottom w:type="dxa" w:w="60"/>
              <w:right w:type="dxa" w:w="80"/>
            </w:tcMar>
            <w:vAlign w:val="center"/>
          </w:tcPr>
          <w:p>
            <w:pPr>
              <w:jc w:val="left"/>
            </w:pPr>
            <w:r>
              <w:rPr>
                <w:b/>
                <w:bCs/>
                <w:color w:val="FFFFFF"/>
                <w:sz w:val="18"/>
                <w:szCs w:val="18"/>
              </w:rPr>
              <w:t xml:space="preserve">Campaign</w:t>
            </w:r>
          </w:p>
        </w:tc>
        <w:tc>
          <w:tcPr>
            <w:tcW w:type="dxa" w:w="1100"/>
            <w:shd w:fill="1F2A44" w:val="clear"/>
            <w:tcMar>
              <w:top w:type="dxa" w:w="60"/>
              <w:left w:type="dxa" w:w="80"/>
              <w:bottom w:type="dxa" w:w="60"/>
              <w:right w:type="dxa" w:w="80"/>
            </w:tcMar>
            <w:vAlign w:val="center"/>
          </w:tcPr>
          <w:p>
            <w:pPr>
              <w:jc w:val="left"/>
            </w:pPr>
            <w:r>
              <w:rPr>
                <w:b/>
                <w:bCs/>
                <w:color w:val="FFFFFF"/>
                <w:sz w:val="18"/>
                <w:szCs w:val="18"/>
              </w:rPr>
              <w:t xml:space="preserve">Platform</w:t>
            </w:r>
          </w:p>
        </w:tc>
        <w:tc>
          <w:tcPr>
            <w:tcW w:type="dxa" w:w="1500"/>
            <w:shd w:fill="1F2A44" w:val="clear"/>
            <w:tcMar>
              <w:top w:type="dxa" w:w="60"/>
              <w:left w:type="dxa" w:w="80"/>
              <w:bottom w:type="dxa" w:w="60"/>
              <w:right w:type="dxa" w:w="80"/>
            </w:tcMar>
            <w:vAlign w:val="center"/>
          </w:tcPr>
          <w:p>
            <w:pPr>
              <w:jc w:val="left"/>
            </w:pPr>
            <w:r>
              <w:rPr>
                <w:b/>
                <w:bCs/>
                <w:color w:val="FFFFFF"/>
                <w:sz w:val="18"/>
                <w:szCs w:val="18"/>
              </w:rPr>
              <w:t xml:space="preserve">Current Spend</w:t>
            </w:r>
          </w:p>
        </w:tc>
        <w:tc>
          <w:tcPr>
            <w:tcW w:type="dxa" w:w="1500"/>
            <w:shd w:fill="1F2A44" w:val="clear"/>
            <w:tcMar>
              <w:top w:type="dxa" w:w="60"/>
              <w:left w:type="dxa" w:w="80"/>
              <w:bottom w:type="dxa" w:w="60"/>
              <w:right w:type="dxa" w:w="80"/>
            </w:tcMar>
            <w:vAlign w:val="center"/>
          </w:tcPr>
          <w:p>
            <w:pPr>
              <w:jc w:val="left"/>
            </w:pPr>
            <w:r>
              <w:rPr>
                <w:b/>
                <w:bCs/>
                <w:color w:val="FFFFFF"/>
                <w:sz w:val="18"/>
                <w:szCs w:val="18"/>
              </w:rPr>
              <w:t xml:space="preserve">Proposed Spend</w:t>
            </w:r>
          </w:p>
        </w:tc>
        <w:tc>
          <w:tcPr>
            <w:tcW w:type="dxa" w:w="1400"/>
            <w:shd w:fill="1F2A44" w:val="clear"/>
            <w:tcMar>
              <w:top w:type="dxa" w:w="60"/>
              <w:left w:type="dxa" w:w="80"/>
              <w:bottom w:type="dxa" w:w="60"/>
              <w:right w:type="dxa" w:w="80"/>
            </w:tcMar>
            <w:vAlign w:val="center"/>
          </w:tcPr>
          <w:p>
            <w:pPr>
              <w:jc w:val="left"/>
            </w:pPr>
            <w:r>
              <w:rPr>
                <w:b/>
                <w:bCs/>
                <w:color w:val="FFFFFF"/>
                <w:sz w:val="18"/>
                <w:szCs w:val="18"/>
              </w:rPr>
              <w:t xml:space="preserve">Change</w:t>
            </w:r>
          </w:p>
        </w:tc>
        <w:tc>
          <w:tcPr>
            <w:tcW w:type="dxa" w:w="1100"/>
            <w:shd w:fill="1F2A44" w:val="clear"/>
            <w:tcMar>
              <w:top w:type="dxa" w:w="60"/>
              <w:left w:type="dxa" w:w="80"/>
              <w:bottom w:type="dxa" w:w="60"/>
              <w:right w:type="dxa" w:w="80"/>
            </w:tcMar>
            <w:vAlign w:val="center"/>
          </w:tcPr>
          <w:p>
            <w:pPr>
              <w:jc w:val="left"/>
            </w:pPr>
            <w:r>
              <w:rPr>
                <w:b/>
                <w:bCs/>
                <w:color w:val="FFFFFF"/>
                <w:sz w:val="18"/>
                <w:szCs w:val="18"/>
              </w:rPr>
              <w:t xml:space="preserve">Action</w:t>
            </w:r>
          </w:p>
        </w:tc>
        <w:tc>
          <w:tcPr>
            <w:tcW w:type="dxa" w:w="3900"/>
            <w:shd w:fill="1F2A44" w:val="clear"/>
            <w:tcMar>
              <w:top w:type="dxa" w:w="60"/>
              <w:left w:type="dxa" w:w="80"/>
              <w:bottom w:type="dxa" w:w="60"/>
              <w:right w:type="dxa" w:w="80"/>
            </w:tcMar>
            <w:vAlign w:val="center"/>
          </w:tcPr>
          <w:p>
            <w:pPr>
              <w:jc w:val="left"/>
            </w:pPr>
            <w:r>
              <w:rPr>
                <w:b/>
                <w:bCs/>
                <w:color w:val="FFFFFF"/>
                <w:sz w:val="18"/>
                <w:szCs w:val="18"/>
              </w:rPr>
              <w:t xml:space="preserve">Reason</w:t>
            </w:r>
          </w:p>
        </w:tc>
      </w:tr>
      <w:tr>
        <w:tc>
          <w:tcPr>
            <w:tcW w:type="dxa" w:w="3600"/>
            <w:tcMar>
              <w:top w:type="dxa" w:w="60"/>
              <w:left w:type="dxa" w:w="80"/>
              <w:bottom w:type="dxa" w:w="60"/>
              <w:right w:type="dxa" w:w="80"/>
            </w:tcMar>
            <w:vAlign w:val="center"/>
          </w:tcPr>
          <w:p>
            <w:pPr>
              <w:jc w:val="left"/>
            </w:pPr>
            <w:r>
              <w:rPr>
                <w:b w:val="false"/>
                <w:bCs w:val="false"/>
                <w:color w:val="000000"/>
                <w:sz w:val="18"/>
                <w:szCs w:val="18"/>
              </w:rPr>
              <w:t xml:space="preserve">Search_India-12/12</w:t>
            </w:r>
          </w:p>
        </w:tc>
        <w:tc>
          <w:tcPr>
            <w:tcW w:type="dxa" w:w="1100"/>
            <w:tcMar>
              <w:top w:type="dxa" w:w="60"/>
              <w:left w:type="dxa" w:w="80"/>
              <w:bottom w:type="dxa" w:w="60"/>
              <w:right w:type="dxa" w:w="80"/>
            </w:tcMar>
            <w:vAlign w:val="center"/>
          </w:tcPr>
          <w:p>
            <w:pPr>
              <w:jc w:val="left"/>
            </w:pPr>
            <w:r>
              <w:rPr>
                <w:b w:val="false"/>
                <w:bCs w:val="false"/>
                <w:color w:val="000000"/>
                <w:sz w:val="18"/>
                <w:szCs w:val="18"/>
              </w:rPr>
              <w:t xml:space="preserve">Google</w:t>
            </w:r>
          </w:p>
        </w:tc>
        <w:tc>
          <w:tcPr>
            <w:tcW w:type="dxa" w:w="1500"/>
            <w:tcMar>
              <w:top w:type="dxa" w:w="60"/>
              <w:left w:type="dxa" w:w="80"/>
              <w:bottom w:type="dxa" w:w="60"/>
              <w:right w:type="dxa" w:w="80"/>
            </w:tcMar>
            <w:vAlign w:val="center"/>
          </w:tcPr>
          <w:p>
            <w:pPr>
              <w:jc w:val="left"/>
            </w:pPr>
            <w:r>
              <w:rPr>
                <w:b w:val="false"/>
                <w:bCs w:val="false"/>
                <w:color w:val="000000"/>
                <w:sz w:val="18"/>
                <w:szCs w:val="18"/>
              </w:rPr>
              <w:t xml:space="preserve">71,651</w:t>
            </w:r>
          </w:p>
        </w:tc>
        <w:tc>
          <w:tcPr>
            <w:tcW w:type="dxa" w:w="1500"/>
            <w:tcMar>
              <w:top w:type="dxa" w:w="60"/>
              <w:left w:type="dxa" w:w="80"/>
              <w:bottom w:type="dxa" w:w="60"/>
              <w:right w:type="dxa" w:w="80"/>
            </w:tcMar>
            <w:vAlign w:val="center"/>
          </w:tcPr>
          <w:p>
            <w:pPr>
              <w:jc w:val="left"/>
            </w:pPr>
            <w:r>
              <w:rPr>
                <w:b w:val="false"/>
                <w:bCs w:val="false"/>
                <w:color w:val="000000"/>
                <w:sz w:val="18"/>
                <w:szCs w:val="18"/>
              </w:rPr>
              <w:t xml:space="preserve">2,20,000</w:t>
            </w:r>
          </w:p>
        </w:tc>
        <w:tc>
          <w:tcPr>
            <w:tcW w:type="dxa" w:w="1400"/>
            <w:tcMar>
              <w:top w:type="dxa" w:w="60"/>
              <w:left w:type="dxa" w:w="80"/>
              <w:bottom w:type="dxa" w:w="60"/>
              <w:right w:type="dxa" w:w="80"/>
            </w:tcMar>
            <w:vAlign w:val="center"/>
          </w:tcPr>
          <w:p>
            <w:pPr>
              <w:jc w:val="left"/>
            </w:pPr>
            <w:r>
              <w:rPr>
                <w:b/>
                <w:bCs/>
                <w:color w:val="1E7B45"/>
                <w:sz w:val="18"/>
                <w:szCs w:val="18"/>
              </w:rPr>
              <w:t xml:space="preserve">+1,48,349</w:t>
            </w:r>
          </w:p>
        </w:tc>
        <w:tc>
          <w:tcPr>
            <w:tcW w:type="dxa" w:w="1100"/>
            <w:tcMar>
              <w:top w:type="dxa" w:w="60"/>
              <w:left w:type="dxa" w:w="80"/>
              <w:bottom w:type="dxa" w:w="60"/>
              <w:right w:type="dxa" w:w="80"/>
            </w:tcMar>
            <w:vAlign w:val="center"/>
          </w:tcPr>
          <w:p>
            <w:pPr>
              <w:jc w:val="left"/>
            </w:pPr>
            <w:r>
              <w:rPr>
                <w:b/>
                <w:bCs/>
                <w:color w:val="1E7B45"/>
                <w:sz w:val="18"/>
                <w:szCs w:val="18"/>
              </w:rPr>
              <w:t xml:space="preserve">SCALE</w:t>
            </w:r>
          </w:p>
        </w:tc>
        <w:tc>
          <w:tcPr>
            <w:tcW w:type="dxa" w:w="3900"/>
            <w:tcMar>
              <w:top w:type="dxa" w:w="60"/>
              <w:left w:type="dxa" w:w="80"/>
              <w:bottom w:type="dxa" w:w="60"/>
              <w:right w:type="dxa" w:w="80"/>
            </w:tcMar>
            <w:vAlign w:val="center"/>
          </w:tcPr>
          <w:p>
            <w:pPr>
              <w:jc w:val="left"/>
            </w:pPr>
            <w:r>
              <w:rPr>
                <w:b w:val="false"/>
                <w:bCs w:val="false"/>
                <w:color w:val="000000"/>
                <w:sz w:val="18"/>
                <w:szCs w:val="18"/>
              </w:rPr>
              <w:t xml:space="preserve">12.08x ROAS, best performer in account, low volume relative to demonstrated efficiency</w:t>
            </w:r>
          </w:p>
        </w:tc>
      </w:tr>
      <w:tr>
        <w:tc>
          <w:tcPr>
            <w:tcW w:type="dxa" w:w="3600"/>
            <w:shd w:fill="F2F2F2" w:val="clear"/>
            <w:tcMar>
              <w:top w:type="dxa" w:w="60"/>
              <w:left w:type="dxa" w:w="80"/>
              <w:bottom w:type="dxa" w:w="60"/>
              <w:right w:type="dxa" w:w="80"/>
            </w:tcMar>
            <w:vAlign w:val="center"/>
          </w:tcPr>
          <w:p>
            <w:pPr>
              <w:jc w:val="left"/>
            </w:pPr>
            <w:r>
              <w:rPr>
                <w:b w:val="false"/>
                <w:bCs w:val="false"/>
                <w:color w:val="000000"/>
                <w:sz w:val="18"/>
                <w:szCs w:val="18"/>
              </w:rPr>
              <w:t xml:space="preserve">Search_INT</w:t>
            </w:r>
          </w:p>
        </w:tc>
        <w:tc>
          <w:tcPr>
            <w:tcW w:type="dxa" w:w="1100"/>
            <w:shd w:fill="F2F2F2" w:val="clear"/>
            <w:tcMar>
              <w:top w:type="dxa" w:w="60"/>
              <w:left w:type="dxa" w:w="80"/>
              <w:bottom w:type="dxa" w:w="60"/>
              <w:right w:type="dxa" w:w="80"/>
            </w:tcMar>
            <w:vAlign w:val="center"/>
          </w:tcPr>
          <w:p>
            <w:pPr>
              <w:jc w:val="left"/>
            </w:pPr>
            <w:r>
              <w:rPr>
                <w:b w:val="false"/>
                <w:bCs w:val="false"/>
                <w:color w:val="000000"/>
                <w:sz w:val="18"/>
                <w:szCs w:val="18"/>
              </w:rPr>
              <w:t xml:space="preserve">Google</w:t>
            </w:r>
          </w:p>
        </w:tc>
        <w:tc>
          <w:tcPr>
            <w:tcW w:type="dxa" w:w="1500"/>
            <w:shd w:fill="F2F2F2" w:val="clear"/>
            <w:tcMar>
              <w:top w:type="dxa" w:w="60"/>
              <w:left w:type="dxa" w:w="80"/>
              <w:bottom w:type="dxa" w:w="60"/>
              <w:right w:type="dxa" w:w="80"/>
            </w:tcMar>
            <w:vAlign w:val="center"/>
          </w:tcPr>
          <w:p>
            <w:pPr>
              <w:jc w:val="left"/>
            </w:pPr>
            <w:r>
              <w:rPr>
                <w:b w:val="false"/>
                <w:bCs w:val="false"/>
                <w:color w:val="000000"/>
                <w:sz w:val="18"/>
                <w:szCs w:val="18"/>
              </w:rPr>
              <w:t xml:space="preserve">57,979</w:t>
            </w:r>
          </w:p>
        </w:tc>
        <w:tc>
          <w:tcPr>
            <w:tcW w:type="dxa" w:w="1500"/>
            <w:shd w:fill="F2F2F2" w:val="clear"/>
            <w:tcMar>
              <w:top w:type="dxa" w:w="60"/>
              <w:left w:type="dxa" w:w="80"/>
              <w:bottom w:type="dxa" w:w="60"/>
              <w:right w:type="dxa" w:w="80"/>
            </w:tcMar>
            <w:vAlign w:val="center"/>
          </w:tcPr>
          <w:p>
            <w:pPr>
              <w:jc w:val="left"/>
            </w:pPr>
            <w:r>
              <w:rPr>
                <w:b w:val="false"/>
                <w:bCs w:val="false"/>
                <w:color w:val="000000"/>
                <w:sz w:val="18"/>
                <w:szCs w:val="18"/>
              </w:rPr>
              <w:t xml:space="preserve">1,20,000</w:t>
            </w:r>
          </w:p>
        </w:tc>
        <w:tc>
          <w:tcPr>
            <w:tcW w:type="dxa" w:w="1400"/>
            <w:shd w:fill="F2F2F2" w:val="clear"/>
            <w:tcMar>
              <w:top w:type="dxa" w:w="60"/>
              <w:left w:type="dxa" w:w="80"/>
              <w:bottom w:type="dxa" w:w="60"/>
              <w:right w:type="dxa" w:w="80"/>
            </w:tcMar>
            <w:vAlign w:val="center"/>
          </w:tcPr>
          <w:p>
            <w:pPr>
              <w:jc w:val="left"/>
            </w:pPr>
            <w:r>
              <w:rPr>
                <w:b/>
                <w:bCs/>
                <w:color w:val="1E7B45"/>
                <w:sz w:val="18"/>
                <w:szCs w:val="18"/>
              </w:rPr>
              <w:t xml:space="preserve">+62,021</w:t>
            </w:r>
          </w:p>
        </w:tc>
        <w:tc>
          <w:tcPr>
            <w:tcW w:type="dxa" w:w="1100"/>
            <w:shd w:fill="F2F2F2" w:val="clear"/>
            <w:tcMar>
              <w:top w:type="dxa" w:w="60"/>
              <w:left w:type="dxa" w:w="80"/>
              <w:bottom w:type="dxa" w:w="60"/>
              <w:right w:type="dxa" w:w="80"/>
            </w:tcMar>
            <w:vAlign w:val="center"/>
          </w:tcPr>
          <w:p>
            <w:pPr>
              <w:jc w:val="left"/>
            </w:pPr>
            <w:r>
              <w:rPr>
                <w:b/>
                <w:bCs/>
                <w:color w:val="1E7B45"/>
                <w:sz w:val="18"/>
                <w:szCs w:val="18"/>
              </w:rPr>
              <w:t xml:space="preserve">SCALE</w:t>
            </w:r>
          </w:p>
        </w:tc>
        <w:tc>
          <w:tcPr>
            <w:tcW w:type="dxa" w:w="3900"/>
            <w:shd w:fill="F2F2F2" w:val="clear"/>
            <w:tcMar>
              <w:top w:type="dxa" w:w="60"/>
              <w:left w:type="dxa" w:w="80"/>
              <w:bottom w:type="dxa" w:w="60"/>
              <w:right w:type="dxa" w:w="80"/>
            </w:tcMar>
            <w:vAlign w:val="center"/>
          </w:tcPr>
          <w:p>
            <w:pPr>
              <w:jc w:val="left"/>
            </w:pPr>
            <w:r>
              <w:rPr>
                <w:b w:val="false"/>
                <w:bCs w:val="false"/>
                <w:color w:val="000000"/>
                <w:sz w:val="18"/>
                <w:szCs w:val="18"/>
              </w:rPr>
              <w:t xml:space="preserve">9.37x ROAS, intent-based search traffic, room to grow before hitting search-volume ceiling</w:t>
            </w:r>
          </w:p>
        </w:tc>
      </w:tr>
      <w:tr>
        <w:tc>
          <w:tcPr>
            <w:tcW w:type="dxa" w:w="3600"/>
            <w:tcMar>
              <w:top w:type="dxa" w:w="60"/>
              <w:left w:type="dxa" w:w="80"/>
              <w:bottom w:type="dxa" w:w="60"/>
              <w:right w:type="dxa" w:w="80"/>
            </w:tcMar>
            <w:vAlign w:val="center"/>
          </w:tcPr>
          <w:p>
            <w:pPr>
              <w:jc w:val="left"/>
            </w:pPr>
            <w:r>
              <w:rPr>
                <w:b w:val="false"/>
                <w:bCs w:val="false"/>
                <w:color w:val="000000"/>
                <w:sz w:val="18"/>
                <w:szCs w:val="18"/>
              </w:rPr>
              <w:t xml:space="preserve">P.max_HP_EOSS_Ind</w:t>
            </w:r>
          </w:p>
        </w:tc>
        <w:tc>
          <w:tcPr>
            <w:tcW w:type="dxa" w:w="1100"/>
            <w:tcMar>
              <w:top w:type="dxa" w:w="60"/>
              <w:left w:type="dxa" w:w="80"/>
              <w:bottom w:type="dxa" w:w="60"/>
              <w:right w:type="dxa" w:w="80"/>
            </w:tcMar>
            <w:vAlign w:val="center"/>
          </w:tcPr>
          <w:p>
            <w:pPr>
              <w:jc w:val="left"/>
            </w:pPr>
            <w:r>
              <w:rPr>
                <w:b w:val="false"/>
                <w:bCs w:val="false"/>
                <w:color w:val="000000"/>
                <w:sz w:val="18"/>
                <w:szCs w:val="18"/>
              </w:rPr>
              <w:t xml:space="preserve">Google</w:t>
            </w:r>
          </w:p>
        </w:tc>
        <w:tc>
          <w:tcPr>
            <w:tcW w:type="dxa" w:w="1500"/>
            <w:tcMar>
              <w:top w:type="dxa" w:w="60"/>
              <w:left w:type="dxa" w:w="80"/>
              <w:bottom w:type="dxa" w:w="60"/>
              <w:right w:type="dxa" w:w="80"/>
            </w:tcMar>
            <w:vAlign w:val="center"/>
          </w:tcPr>
          <w:p>
            <w:pPr>
              <w:jc w:val="left"/>
            </w:pPr>
            <w:r>
              <w:rPr>
                <w:b w:val="false"/>
                <w:bCs w:val="false"/>
                <w:color w:val="000000"/>
                <w:sz w:val="18"/>
                <w:szCs w:val="18"/>
              </w:rPr>
              <w:t xml:space="preserve">90,985</w:t>
            </w:r>
          </w:p>
        </w:tc>
        <w:tc>
          <w:tcPr>
            <w:tcW w:type="dxa" w:w="1500"/>
            <w:tcMar>
              <w:top w:type="dxa" w:w="60"/>
              <w:left w:type="dxa" w:w="80"/>
              <w:bottom w:type="dxa" w:w="60"/>
              <w:right w:type="dxa" w:w="80"/>
            </w:tcMar>
            <w:vAlign w:val="center"/>
          </w:tcPr>
          <w:p>
            <w:pPr>
              <w:jc w:val="left"/>
            </w:pPr>
            <w:r>
              <w:rPr>
                <w:b w:val="false"/>
                <w:bCs w:val="false"/>
                <w:color w:val="000000"/>
                <w:sz w:val="18"/>
                <w:szCs w:val="18"/>
              </w:rPr>
              <w:t xml:space="preserve">1,50,000</w:t>
            </w:r>
          </w:p>
        </w:tc>
        <w:tc>
          <w:tcPr>
            <w:tcW w:type="dxa" w:w="1400"/>
            <w:tcMar>
              <w:top w:type="dxa" w:w="60"/>
              <w:left w:type="dxa" w:w="80"/>
              <w:bottom w:type="dxa" w:w="60"/>
              <w:right w:type="dxa" w:w="80"/>
            </w:tcMar>
            <w:vAlign w:val="center"/>
          </w:tcPr>
          <w:p>
            <w:pPr>
              <w:jc w:val="left"/>
            </w:pPr>
            <w:r>
              <w:rPr>
                <w:b/>
                <w:bCs/>
                <w:color w:val="1E7B45"/>
                <w:sz w:val="18"/>
                <w:szCs w:val="18"/>
              </w:rPr>
              <w:t xml:space="preserve">+59,015</w:t>
            </w:r>
          </w:p>
        </w:tc>
        <w:tc>
          <w:tcPr>
            <w:tcW w:type="dxa" w:w="1100"/>
            <w:tcMar>
              <w:top w:type="dxa" w:w="60"/>
              <w:left w:type="dxa" w:w="80"/>
              <w:bottom w:type="dxa" w:w="60"/>
              <w:right w:type="dxa" w:w="80"/>
            </w:tcMar>
            <w:vAlign w:val="center"/>
          </w:tcPr>
          <w:p>
            <w:pPr>
              <w:jc w:val="left"/>
            </w:pPr>
            <w:r>
              <w:rPr>
                <w:b/>
                <w:bCs/>
                <w:color w:val="1E7B45"/>
                <w:sz w:val="18"/>
                <w:szCs w:val="18"/>
              </w:rPr>
              <w:t xml:space="preserve">SCALE</w:t>
            </w:r>
          </w:p>
        </w:tc>
        <w:tc>
          <w:tcPr>
            <w:tcW w:type="dxa" w:w="3900"/>
            <w:tcMar>
              <w:top w:type="dxa" w:w="60"/>
              <w:left w:type="dxa" w:w="80"/>
              <w:bottom w:type="dxa" w:w="60"/>
              <w:right w:type="dxa" w:w="80"/>
            </w:tcMar>
            <w:vAlign w:val="center"/>
          </w:tcPr>
          <w:p>
            <w:pPr>
              <w:jc w:val="left"/>
            </w:pPr>
            <w:r>
              <w:rPr>
                <w:b w:val="false"/>
                <w:bCs w:val="false"/>
                <w:color w:val="000000"/>
                <w:sz w:val="18"/>
                <w:szCs w:val="18"/>
              </w:rPr>
              <w:t xml:space="preserve">6.40x ROAS at meaningful volume already; Performance Max has inventory signal to expand on</w:t>
            </w:r>
          </w:p>
        </w:tc>
      </w:tr>
      <w:tr>
        <w:tc>
          <w:tcPr>
            <w:tcW w:type="dxa" w:w="3600"/>
            <w:shd w:fill="F2F2F2" w:val="clear"/>
            <w:tcMar>
              <w:top w:type="dxa" w:w="60"/>
              <w:left w:type="dxa" w:w="80"/>
              <w:bottom w:type="dxa" w:w="60"/>
              <w:right w:type="dxa" w:w="80"/>
            </w:tcMar>
            <w:vAlign w:val="center"/>
          </w:tcPr>
          <w:p>
            <w:pPr>
              <w:jc w:val="left"/>
            </w:pPr>
            <w:r>
              <w:rPr>
                <w:b w:val="false"/>
                <w:bCs w:val="false"/>
                <w:color w:val="000000"/>
                <w:sz w:val="18"/>
                <w:szCs w:val="18"/>
              </w:rPr>
              <w:t xml:space="preserve">Pmax_Listing_INTL</w:t>
            </w:r>
          </w:p>
        </w:tc>
        <w:tc>
          <w:tcPr>
            <w:tcW w:type="dxa" w:w="1100"/>
            <w:shd w:fill="F2F2F2" w:val="clear"/>
            <w:tcMar>
              <w:top w:type="dxa" w:w="60"/>
              <w:left w:type="dxa" w:w="80"/>
              <w:bottom w:type="dxa" w:w="60"/>
              <w:right w:type="dxa" w:w="80"/>
            </w:tcMar>
            <w:vAlign w:val="center"/>
          </w:tcPr>
          <w:p>
            <w:pPr>
              <w:jc w:val="left"/>
            </w:pPr>
            <w:r>
              <w:rPr>
                <w:b w:val="false"/>
                <w:bCs w:val="false"/>
                <w:color w:val="000000"/>
                <w:sz w:val="18"/>
                <w:szCs w:val="18"/>
              </w:rPr>
              <w:t xml:space="preserve">Google</w:t>
            </w:r>
          </w:p>
        </w:tc>
        <w:tc>
          <w:tcPr>
            <w:tcW w:type="dxa" w:w="1500"/>
            <w:shd w:fill="F2F2F2" w:val="clear"/>
            <w:tcMar>
              <w:top w:type="dxa" w:w="60"/>
              <w:left w:type="dxa" w:w="80"/>
              <w:bottom w:type="dxa" w:w="60"/>
              <w:right w:type="dxa" w:w="80"/>
            </w:tcMar>
            <w:vAlign w:val="center"/>
          </w:tcPr>
          <w:p>
            <w:pPr>
              <w:jc w:val="left"/>
            </w:pPr>
            <w:r>
              <w:rPr>
                <w:b w:val="false"/>
                <w:bCs w:val="false"/>
                <w:color w:val="000000"/>
                <w:sz w:val="18"/>
                <w:szCs w:val="18"/>
              </w:rPr>
              <w:t xml:space="preserve">52,520</w:t>
            </w:r>
          </w:p>
        </w:tc>
        <w:tc>
          <w:tcPr>
            <w:tcW w:type="dxa" w:w="1500"/>
            <w:shd w:fill="F2F2F2" w:val="clear"/>
            <w:tcMar>
              <w:top w:type="dxa" w:w="60"/>
              <w:left w:type="dxa" w:w="80"/>
              <w:bottom w:type="dxa" w:w="60"/>
              <w:right w:type="dxa" w:w="80"/>
            </w:tcMar>
            <w:vAlign w:val="center"/>
          </w:tcPr>
          <w:p>
            <w:pPr>
              <w:jc w:val="left"/>
            </w:pPr>
            <w:r>
              <w:rPr>
                <w:b w:val="false"/>
                <w:bCs w:val="false"/>
                <w:color w:val="000000"/>
                <w:sz w:val="18"/>
                <w:szCs w:val="18"/>
              </w:rPr>
              <w:t xml:space="preserve">70,000</w:t>
            </w:r>
          </w:p>
        </w:tc>
        <w:tc>
          <w:tcPr>
            <w:tcW w:type="dxa" w:w="1400"/>
            <w:shd w:fill="F2F2F2" w:val="clear"/>
            <w:tcMar>
              <w:top w:type="dxa" w:w="60"/>
              <w:left w:type="dxa" w:w="80"/>
              <w:bottom w:type="dxa" w:w="60"/>
              <w:right w:type="dxa" w:w="80"/>
            </w:tcMar>
            <w:vAlign w:val="center"/>
          </w:tcPr>
          <w:p>
            <w:pPr>
              <w:jc w:val="left"/>
            </w:pPr>
            <w:r>
              <w:rPr>
                <w:b w:val="false"/>
                <w:bCs w:val="false"/>
                <w:color w:val="1E7B45"/>
                <w:sz w:val="18"/>
                <w:szCs w:val="18"/>
              </w:rPr>
              <w:t xml:space="preserve">+17,480</w:t>
            </w:r>
          </w:p>
        </w:tc>
        <w:tc>
          <w:tcPr>
            <w:tcW w:type="dxa" w:w="1100"/>
            <w:shd w:fill="F2F2F2" w:val="clear"/>
            <w:tcMar>
              <w:top w:type="dxa" w:w="60"/>
              <w:left w:type="dxa" w:w="80"/>
              <w:bottom w:type="dxa" w:w="60"/>
              <w:right w:type="dxa" w:w="80"/>
            </w:tcMar>
            <w:vAlign w:val="center"/>
          </w:tcPr>
          <w:p>
            <w:pPr>
              <w:jc w:val="left"/>
            </w:pPr>
            <w:r>
              <w:rPr>
                <w:b w:val="false"/>
                <w:bCs w:val="false"/>
                <w:color w:val="1E7B45"/>
                <w:sz w:val="18"/>
                <w:szCs w:val="18"/>
              </w:rPr>
              <w:t xml:space="preserve">SCALE</w:t>
            </w:r>
          </w:p>
        </w:tc>
        <w:tc>
          <w:tcPr>
            <w:tcW w:type="dxa" w:w="3900"/>
            <w:shd w:fill="F2F2F2" w:val="clear"/>
            <w:tcMar>
              <w:top w:type="dxa" w:w="60"/>
              <w:left w:type="dxa" w:w="80"/>
              <w:bottom w:type="dxa" w:w="60"/>
              <w:right w:type="dxa" w:w="80"/>
            </w:tcMar>
            <w:vAlign w:val="center"/>
          </w:tcPr>
          <w:p>
            <w:pPr>
              <w:jc w:val="left"/>
            </w:pPr>
            <w:r>
              <w:rPr>
                <w:b w:val="false"/>
                <w:bCs w:val="false"/>
                <w:color w:val="000000"/>
                <w:sz w:val="18"/>
                <w:szCs w:val="18"/>
              </w:rPr>
              <w:t xml:space="preserve">4.06x ROAS, healthy and stable — modest increase</w:t>
            </w:r>
          </w:p>
        </w:tc>
      </w:tr>
      <w:tr>
        <w:tc>
          <w:tcPr>
            <w:tcW w:type="dxa" w:w="3600"/>
            <w:tcMar>
              <w:top w:type="dxa" w:w="60"/>
              <w:left w:type="dxa" w:w="80"/>
              <w:bottom w:type="dxa" w:w="60"/>
              <w:right w:type="dxa" w:w="80"/>
            </w:tcMar>
            <w:vAlign w:val="center"/>
          </w:tcPr>
          <w:p>
            <w:pPr>
              <w:jc w:val="left"/>
            </w:pPr>
            <w:r>
              <w:rPr>
                <w:b w:val="false"/>
                <w:bCs w:val="false"/>
                <w:color w:val="000000"/>
                <w:sz w:val="18"/>
                <w:szCs w:val="18"/>
              </w:rPr>
              <w:t xml:space="preserve">Pmax_Listing_IND</w:t>
            </w:r>
          </w:p>
        </w:tc>
        <w:tc>
          <w:tcPr>
            <w:tcW w:type="dxa" w:w="1100"/>
            <w:tcMar>
              <w:top w:type="dxa" w:w="60"/>
              <w:left w:type="dxa" w:w="80"/>
              <w:bottom w:type="dxa" w:w="60"/>
              <w:right w:type="dxa" w:w="80"/>
            </w:tcMar>
            <w:vAlign w:val="center"/>
          </w:tcPr>
          <w:p>
            <w:pPr>
              <w:jc w:val="left"/>
            </w:pPr>
            <w:r>
              <w:rPr>
                <w:b w:val="false"/>
                <w:bCs w:val="false"/>
                <w:color w:val="000000"/>
                <w:sz w:val="18"/>
                <w:szCs w:val="18"/>
              </w:rPr>
              <w:t xml:space="preserve">Google</w:t>
            </w:r>
          </w:p>
        </w:tc>
        <w:tc>
          <w:tcPr>
            <w:tcW w:type="dxa" w:w="1500"/>
            <w:tcMar>
              <w:top w:type="dxa" w:w="60"/>
              <w:left w:type="dxa" w:w="80"/>
              <w:bottom w:type="dxa" w:w="60"/>
              <w:right w:type="dxa" w:w="80"/>
            </w:tcMar>
            <w:vAlign w:val="center"/>
          </w:tcPr>
          <w:p>
            <w:pPr>
              <w:jc w:val="left"/>
            </w:pPr>
            <w:r>
              <w:rPr>
                <w:b w:val="false"/>
                <w:bCs w:val="false"/>
                <w:color w:val="000000"/>
                <w:sz w:val="18"/>
                <w:szCs w:val="18"/>
              </w:rPr>
              <w:t xml:space="preserve">48,571</w:t>
            </w:r>
          </w:p>
        </w:tc>
        <w:tc>
          <w:tcPr>
            <w:tcW w:type="dxa" w:w="1500"/>
            <w:tcMar>
              <w:top w:type="dxa" w:w="60"/>
              <w:left w:type="dxa" w:w="80"/>
              <w:bottom w:type="dxa" w:w="60"/>
              <w:right w:type="dxa" w:w="80"/>
            </w:tcMar>
            <w:vAlign w:val="center"/>
          </w:tcPr>
          <w:p>
            <w:pPr>
              <w:jc w:val="left"/>
            </w:pPr>
            <w:r>
              <w:rPr>
                <w:b w:val="false"/>
                <w:bCs w:val="false"/>
                <w:color w:val="000000"/>
                <w:sz w:val="18"/>
                <w:szCs w:val="18"/>
              </w:rPr>
              <w:t xml:space="preserve">70,000</w:t>
            </w:r>
          </w:p>
        </w:tc>
        <w:tc>
          <w:tcPr>
            <w:tcW w:type="dxa" w:w="1400"/>
            <w:tcMar>
              <w:top w:type="dxa" w:w="60"/>
              <w:left w:type="dxa" w:w="80"/>
              <w:bottom w:type="dxa" w:w="60"/>
              <w:right w:type="dxa" w:w="80"/>
            </w:tcMar>
            <w:vAlign w:val="center"/>
          </w:tcPr>
          <w:p>
            <w:pPr>
              <w:jc w:val="left"/>
            </w:pPr>
            <w:r>
              <w:rPr>
                <w:b w:val="false"/>
                <w:bCs w:val="false"/>
                <w:color w:val="1E7B45"/>
                <w:sz w:val="18"/>
                <w:szCs w:val="18"/>
              </w:rPr>
              <w:t xml:space="preserve">+21,429</w:t>
            </w:r>
          </w:p>
        </w:tc>
        <w:tc>
          <w:tcPr>
            <w:tcW w:type="dxa" w:w="1100"/>
            <w:tcMar>
              <w:top w:type="dxa" w:w="60"/>
              <w:left w:type="dxa" w:w="80"/>
              <w:bottom w:type="dxa" w:w="60"/>
              <w:right w:type="dxa" w:w="80"/>
            </w:tcMar>
            <w:vAlign w:val="center"/>
          </w:tcPr>
          <w:p>
            <w:pPr>
              <w:jc w:val="left"/>
            </w:pPr>
            <w:r>
              <w:rPr>
                <w:b w:val="false"/>
                <w:bCs w:val="false"/>
                <w:color w:val="1E7B45"/>
                <w:sz w:val="18"/>
                <w:szCs w:val="18"/>
              </w:rPr>
              <w:t xml:space="preserve">SCALE</w:t>
            </w:r>
          </w:p>
        </w:tc>
        <w:tc>
          <w:tcPr>
            <w:tcW w:type="dxa" w:w="3900"/>
            <w:tcMar>
              <w:top w:type="dxa" w:w="60"/>
              <w:left w:type="dxa" w:w="80"/>
              <w:bottom w:type="dxa" w:w="60"/>
              <w:right w:type="dxa" w:w="80"/>
            </w:tcMar>
            <w:vAlign w:val="center"/>
          </w:tcPr>
          <w:p>
            <w:pPr>
              <w:jc w:val="left"/>
            </w:pPr>
            <w:r>
              <w:rPr>
                <w:b w:val="false"/>
                <w:bCs w:val="false"/>
                <w:color w:val="000000"/>
                <w:sz w:val="18"/>
                <w:szCs w:val="18"/>
              </w:rPr>
              <w:t xml:space="preserve">2.37x ROAS, acceptable and stable — modest increase</w:t>
            </w:r>
          </w:p>
        </w:tc>
      </w:tr>
      <w:tr>
        <w:tc>
          <w:tcPr>
            <w:tcW w:type="dxa" w:w="3600"/>
            <w:shd w:fill="F2F2F2" w:val="clear"/>
            <w:tcMar>
              <w:top w:type="dxa" w:w="60"/>
              <w:left w:type="dxa" w:w="80"/>
              <w:bottom w:type="dxa" w:w="60"/>
              <w:right w:type="dxa" w:w="80"/>
            </w:tcMar>
            <w:vAlign w:val="center"/>
          </w:tcPr>
          <w:p>
            <w:pPr>
              <w:jc w:val="left"/>
            </w:pPr>
            <w:r>
              <w:rPr>
                <w:b w:val="false"/>
                <w:bCs w:val="false"/>
                <w:color w:val="000000"/>
                <w:sz w:val="18"/>
                <w:szCs w:val="18"/>
              </w:rPr>
              <w:t xml:space="preserve">Shopping|All Product|EOSS</w:t>
            </w:r>
          </w:p>
        </w:tc>
        <w:tc>
          <w:tcPr>
            <w:tcW w:type="dxa" w:w="1100"/>
            <w:shd w:fill="F2F2F2" w:val="clear"/>
            <w:tcMar>
              <w:top w:type="dxa" w:w="60"/>
              <w:left w:type="dxa" w:w="80"/>
              <w:bottom w:type="dxa" w:w="60"/>
              <w:right w:type="dxa" w:w="80"/>
            </w:tcMar>
            <w:vAlign w:val="center"/>
          </w:tcPr>
          <w:p>
            <w:pPr>
              <w:jc w:val="left"/>
            </w:pPr>
            <w:r>
              <w:rPr>
                <w:b w:val="false"/>
                <w:bCs w:val="false"/>
                <w:color w:val="000000"/>
                <w:sz w:val="18"/>
                <w:szCs w:val="18"/>
              </w:rPr>
              <w:t xml:space="preserve">Google</w:t>
            </w:r>
          </w:p>
        </w:tc>
        <w:tc>
          <w:tcPr>
            <w:tcW w:type="dxa" w:w="1500"/>
            <w:shd w:fill="F2F2F2" w:val="clear"/>
            <w:tcMar>
              <w:top w:type="dxa" w:w="60"/>
              <w:left w:type="dxa" w:w="80"/>
              <w:bottom w:type="dxa" w:w="60"/>
              <w:right w:type="dxa" w:w="80"/>
            </w:tcMar>
            <w:vAlign w:val="center"/>
          </w:tcPr>
          <w:p>
            <w:pPr>
              <w:jc w:val="left"/>
            </w:pPr>
            <w:r>
              <w:rPr>
                <w:b w:val="false"/>
                <w:bCs w:val="false"/>
                <w:color w:val="000000"/>
                <w:sz w:val="18"/>
                <w:szCs w:val="18"/>
              </w:rPr>
              <w:t xml:space="preserve">14,211</w:t>
            </w:r>
          </w:p>
        </w:tc>
        <w:tc>
          <w:tcPr>
            <w:tcW w:type="dxa" w:w="1500"/>
            <w:shd w:fill="F2F2F2" w:val="clear"/>
            <w:tcMar>
              <w:top w:type="dxa" w:w="60"/>
              <w:left w:type="dxa" w:w="80"/>
              <w:bottom w:type="dxa" w:w="60"/>
              <w:right w:type="dxa" w:w="80"/>
            </w:tcMar>
            <w:vAlign w:val="center"/>
          </w:tcPr>
          <w:p>
            <w:pPr>
              <w:jc w:val="left"/>
            </w:pPr>
            <w:r>
              <w:rPr>
                <w:b w:val="false"/>
                <w:bCs w:val="false"/>
                <w:color w:val="000000"/>
                <w:sz w:val="18"/>
                <w:szCs w:val="18"/>
              </w:rPr>
              <w:t xml:space="preserve">5,000</w:t>
            </w:r>
          </w:p>
        </w:tc>
        <w:tc>
          <w:tcPr>
            <w:tcW w:type="dxa" w:w="1400"/>
            <w:shd w:fill="F2F2F2" w:val="clear"/>
            <w:tcMar>
              <w:top w:type="dxa" w:w="60"/>
              <w:left w:type="dxa" w:w="80"/>
              <w:bottom w:type="dxa" w:w="60"/>
              <w:right w:type="dxa" w:w="80"/>
            </w:tcMar>
            <w:vAlign w:val="center"/>
          </w:tcPr>
          <w:p>
            <w:pPr>
              <w:jc w:val="left"/>
            </w:pPr>
            <w:r>
              <w:rPr>
                <w:b w:val="false"/>
                <w:bCs w:val="false"/>
                <w:color w:val="C0392B"/>
                <w:sz w:val="18"/>
                <w:szCs w:val="18"/>
              </w:rPr>
              <w:t xml:space="preserve">–09,211</w:t>
            </w:r>
          </w:p>
        </w:tc>
        <w:tc>
          <w:tcPr>
            <w:tcW w:type="dxa" w:w="1100"/>
            <w:shd w:fill="F2F2F2" w:val="clear"/>
            <w:tcMar>
              <w:top w:type="dxa" w:w="60"/>
              <w:left w:type="dxa" w:w="80"/>
              <w:bottom w:type="dxa" w:w="60"/>
              <w:right w:type="dxa" w:w="80"/>
            </w:tcMar>
            <w:vAlign w:val="center"/>
          </w:tcPr>
          <w:p>
            <w:pPr>
              <w:jc w:val="left"/>
            </w:pPr>
            <w:r>
              <w:rPr>
                <w:b w:val="false"/>
                <w:bCs w:val="false"/>
                <w:color w:val="C0392B"/>
                <w:sz w:val="18"/>
                <w:szCs w:val="18"/>
              </w:rPr>
              <w:t xml:space="preserve">REDUCE</w:t>
            </w:r>
          </w:p>
        </w:tc>
        <w:tc>
          <w:tcPr>
            <w:tcW w:type="dxa" w:w="3900"/>
            <w:shd w:fill="F2F2F2" w:val="clear"/>
            <w:tcMar>
              <w:top w:type="dxa" w:w="60"/>
              <w:left w:type="dxa" w:w="80"/>
              <w:bottom w:type="dxa" w:w="60"/>
              <w:right w:type="dxa" w:w="80"/>
            </w:tcMar>
            <w:vAlign w:val="center"/>
          </w:tcPr>
          <w:p>
            <w:pPr>
              <w:jc w:val="left"/>
            </w:pPr>
            <w:r>
              <w:rPr>
                <w:b w:val="false"/>
                <w:bCs w:val="false"/>
                <w:color w:val="000000"/>
                <w:sz w:val="18"/>
                <w:szCs w:val="18"/>
              </w:rPr>
              <w:t xml:space="preserve">0.62x ROAS — keep a minimal presence, not worth full spend</w:t>
            </w:r>
          </w:p>
        </w:tc>
      </w:tr>
      <w:tr>
        <w:tc>
          <w:tcPr>
            <w:tcW w:type="dxa" w:w="3600"/>
            <w:tcMar>
              <w:top w:type="dxa" w:w="60"/>
              <w:left w:type="dxa" w:w="80"/>
              <w:bottom w:type="dxa" w:w="60"/>
              <w:right w:type="dxa" w:w="80"/>
            </w:tcMar>
            <w:vAlign w:val="center"/>
          </w:tcPr>
          <w:p>
            <w:pPr>
              <w:jc w:val="left"/>
            </w:pPr>
            <w:r>
              <w:rPr>
                <w:b w:val="false"/>
                <w:bCs w:val="false"/>
                <w:color w:val="000000"/>
                <w:sz w:val="18"/>
                <w:szCs w:val="18"/>
              </w:rPr>
              <w:t xml:space="preserve">Pmax_India_03-02-2025</w:t>
            </w:r>
          </w:p>
        </w:tc>
        <w:tc>
          <w:tcPr>
            <w:tcW w:type="dxa" w:w="1100"/>
            <w:tcMar>
              <w:top w:type="dxa" w:w="60"/>
              <w:left w:type="dxa" w:w="80"/>
              <w:bottom w:type="dxa" w:w="60"/>
              <w:right w:type="dxa" w:w="80"/>
            </w:tcMar>
            <w:vAlign w:val="center"/>
          </w:tcPr>
          <w:p>
            <w:pPr>
              <w:jc w:val="left"/>
            </w:pPr>
            <w:r>
              <w:rPr>
                <w:b w:val="false"/>
                <w:bCs w:val="false"/>
                <w:color w:val="000000"/>
                <w:sz w:val="18"/>
                <w:szCs w:val="18"/>
              </w:rPr>
              <w:t xml:space="preserve">Google</w:t>
            </w:r>
          </w:p>
        </w:tc>
        <w:tc>
          <w:tcPr>
            <w:tcW w:type="dxa" w:w="1500"/>
            <w:tcMar>
              <w:top w:type="dxa" w:w="60"/>
              <w:left w:type="dxa" w:w="80"/>
              <w:bottom w:type="dxa" w:w="60"/>
              <w:right w:type="dxa" w:w="80"/>
            </w:tcMar>
            <w:vAlign w:val="center"/>
          </w:tcPr>
          <w:p>
            <w:pPr>
              <w:jc w:val="left"/>
            </w:pPr>
            <w:r>
              <w:rPr>
                <w:b w:val="false"/>
                <w:bCs w:val="false"/>
                <w:color w:val="000000"/>
                <w:sz w:val="18"/>
                <w:szCs w:val="18"/>
              </w:rPr>
              <w:t xml:space="preserve">35,131</w:t>
            </w:r>
          </w:p>
        </w:tc>
        <w:tc>
          <w:tcPr>
            <w:tcW w:type="dxa" w:w="1500"/>
            <w:tcMar>
              <w:top w:type="dxa" w:w="60"/>
              <w:left w:type="dxa" w:w="80"/>
              <w:bottom w:type="dxa" w:w="60"/>
              <w:right w:type="dxa" w:w="80"/>
            </w:tcMar>
            <w:vAlign w:val="center"/>
          </w:tcPr>
          <w:p>
            <w:pPr>
              <w:jc w:val="left"/>
            </w:pPr>
            <w:r>
              <w:rPr>
                <w:b w:val="false"/>
                <w:bCs w:val="false"/>
                <w:color w:val="000000"/>
                <w:sz w:val="18"/>
                <w:szCs w:val="18"/>
              </w:rPr>
              <w:t xml:space="preserve">0</w:t>
            </w:r>
          </w:p>
        </w:tc>
        <w:tc>
          <w:tcPr>
            <w:tcW w:type="dxa" w:w="1400"/>
            <w:tcMar>
              <w:top w:type="dxa" w:w="60"/>
              <w:left w:type="dxa" w:w="80"/>
              <w:bottom w:type="dxa" w:w="60"/>
              <w:right w:type="dxa" w:w="80"/>
            </w:tcMar>
            <w:vAlign w:val="center"/>
          </w:tcPr>
          <w:p>
            <w:pPr>
              <w:jc w:val="left"/>
            </w:pPr>
            <w:r>
              <w:rPr>
                <w:b/>
                <w:bCs/>
                <w:color w:val="B03A2E"/>
                <w:sz w:val="18"/>
                <w:szCs w:val="18"/>
              </w:rPr>
              <w:t xml:space="preserve">–35,131</w:t>
            </w:r>
          </w:p>
        </w:tc>
        <w:tc>
          <w:tcPr>
            <w:tcW w:type="dxa" w:w="1100"/>
            <w:tcMar>
              <w:top w:type="dxa" w:w="60"/>
              <w:left w:type="dxa" w:w="80"/>
              <w:bottom w:type="dxa" w:w="60"/>
              <w:right w:type="dxa" w:w="80"/>
            </w:tcMar>
            <w:vAlign w:val="center"/>
          </w:tcPr>
          <w:p>
            <w:pPr>
              <w:jc w:val="left"/>
            </w:pPr>
            <w:r>
              <w:rPr>
                <w:b/>
                <w:bCs/>
                <w:color w:val="B03A2E"/>
                <w:sz w:val="18"/>
                <w:szCs w:val="18"/>
              </w:rPr>
              <w:t xml:space="preserve">KILL</w:t>
            </w:r>
          </w:p>
        </w:tc>
        <w:tc>
          <w:tcPr>
            <w:tcW w:type="dxa" w:w="3900"/>
            <w:tcMar>
              <w:top w:type="dxa" w:w="60"/>
              <w:left w:type="dxa" w:w="80"/>
              <w:bottom w:type="dxa" w:w="60"/>
              <w:right w:type="dxa" w:w="80"/>
            </w:tcMar>
            <w:vAlign w:val="center"/>
          </w:tcPr>
          <w:p>
            <w:pPr>
              <w:jc w:val="left"/>
            </w:pPr>
            <w:r>
              <w:rPr>
                <w:b w:val="false"/>
                <w:bCs w:val="false"/>
                <w:color w:val="000000"/>
                <w:sz w:val="18"/>
                <w:szCs w:val="18"/>
              </w:rPr>
              <w:t xml:space="preserve">0.05x ROAS — effectively zero return on ₹35K</w:t>
            </w:r>
          </w:p>
        </w:tc>
      </w:tr>
      <w:tr>
        <w:tc>
          <w:tcPr>
            <w:tcW w:type="dxa" w:w="3600"/>
            <w:shd w:fill="F2F2F2" w:val="clear"/>
            <w:tcMar>
              <w:top w:type="dxa" w:w="60"/>
              <w:left w:type="dxa" w:w="80"/>
              <w:bottom w:type="dxa" w:w="60"/>
              <w:right w:type="dxa" w:w="80"/>
            </w:tcMar>
            <w:vAlign w:val="center"/>
          </w:tcPr>
          <w:p>
            <w:pPr>
              <w:jc w:val="left"/>
            </w:pPr>
            <w:r>
              <w:rPr>
                <w:b w:val="false"/>
                <w:bCs w:val="false"/>
                <w:color w:val="000000"/>
                <w:sz w:val="18"/>
                <w:szCs w:val="18"/>
              </w:rPr>
              <w:t xml:space="preserve">Shopping US+Canada|DS</w:t>
            </w:r>
          </w:p>
        </w:tc>
        <w:tc>
          <w:tcPr>
            <w:tcW w:type="dxa" w:w="1100"/>
            <w:shd w:fill="F2F2F2" w:val="clear"/>
            <w:tcMar>
              <w:top w:type="dxa" w:w="60"/>
              <w:left w:type="dxa" w:w="80"/>
              <w:bottom w:type="dxa" w:w="60"/>
              <w:right w:type="dxa" w:w="80"/>
            </w:tcMar>
            <w:vAlign w:val="center"/>
          </w:tcPr>
          <w:p>
            <w:pPr>
              <w:jc w:val="left"/>
            </w:pPr>
            <w:r>
              <w:rPr>
                <w:b w:val="false"/>
                <w:bCs w:val="false"/>
                <w:color w:val="000000"/>
                <w:sz w:val="18"/>
                <w:szCs w:val="18"/>
              </w:rPr>
              <w:t xml:space="preserve">Google</w:t>
            </w:r>
          </w:p>
        </w:tc>
        <w:tc>
          <w:tcPr>
            <w:tcW w:type="dxa" w:w="1500"/>
            <w:shd w:fill="F2F2F2" w:val="clear"/>
            <w:tcMar>
              <w:top w:type="dxa" w:w="60"/>
              <w:left w:type="dxa" w:w="80"/>
              <w:bottom w:type="dxa" w:w="60"/>
              <w:right w:type="dxa" w:w="80"/>
            </w:tcMar>
            <w:vAlign w:val="center"/>
          </w:tcPr>
          <w:p>
            <w:pPr>
              <w:jc w:val="left"/>
            </w:pPr>
            <w:r>
              <w:rPr>
                <w:b w:val="false"/>
                <w:bCs w:val="false"/>
                <w:color w:val="000000"/>
                <w:sz w:val="18"/>
                <w:szCs w:val="18"/>
              </w:rPr>
              <w:t xml:space="preserve">19,286</w:t>
            </w:r>
          </w:p>
        </w:tc>
        <w:tc>
          <w:tcPr>
            <w:tcW w:type="dxa" w:w="1500"/>
            <w:shd w:fill="F2F2F2" w:val="clear"/>
            <w:tcMar>
              <w:top w:type="dxa" w:w="60"/>
              <w:left w:type="dxa" w:w="80"/>
              <w:bottom w:type="dxa" w:w="60"/>
              <w:right w:type="dxa" w:w="80"/>
            </w:tcMar>
            <w:vAlign w:val="center"/>
          </w:tcPr>
          <w:p>
            <w:pPr>
              <w:jc w:val="left"/>
            </w:pPr>
            <w:r>
              <w:rPr>
                <w:b w:val="false"/>
                <w:bCs w:val="false"/>
                <w:color w:val="000000"/>
                <w:sz w:val="18"/>
                <w:szCs w:val="18"/>
              </w:rPr>
              <w:t xml:space="preserve">0</w:t>
            </w:r>
          </w:p>
        </w:tc>
        <w:tc>
          <w:tcPr>
            <w:tcW w:type="dxa" w:w="1400"/>
            <w:shd w:fill="F2F2F2" w:val="clear"/>
            <w:tcMar>
              <w:top w:type="dxa" w:w="60"/>
              <w:left w:type="dxa" w:w="80"/>
              <w:bottom w:type="dxa" w:w="60"/>
              <w:right w:type="dxa" w:w="80"/>
            </w:tcMar>
            <w:vAlign w:val="center"/>
          </w:tcPr>
          <w:p>
            <w:pPr>
              <w:jc w:val="left"/>
            </w:pPr>
            <w:r>
              <w:rPr>
                <w:b/>
                <w:bCs/>
                <w:color w:val="B03A2E"/>
                <w:sz w:val="18"/>
                <w:szCs w:val="18"/>
              </w:rPr>
              <w:t xml:space="preserve">–19,286</w:t>
            </w:r>
          </w:p>
        </w:tc>
        <w:tc>
          <w:tcPr>
            <w:tcW w:type="dxa" w:w="1100"/>
            <w:shd w:fill="F2F2F2" w:val="clear"/>
            <w:tcMar>
              <w:top w:type="dxa" w:w="60"/>
              <w:left w:type="dxa" w:w="80"/>
              <w:bottom w:type="dxa" w:w="60"/>
              <w:right w:type="dxa" w:w="80"/>
            </w:tcMar>
            <w:vAlign w:val="center"/>
          </w:tcPr>
          <w:p>
            <w:pPr>
              <w:jc w:val="left"/>
            </w:pPr>
            <w:r>
              <w:rPr>
                <w:b/>
                <w:bCs/>
                <w:color w:val="B03A2E"/>
                <w:sz w:val="18"/>
                <w:szCs w:val="18"/>
              </w:rPr>
              <w:t xml:space="preserve">KILL</w:t>
            </w:r>
          </w:p>
        </w:tc>
        <w:tc>
          <w:tcPr>
            <w:tcW w:type="dxa" w:w="3900"/>
            <w:shd w:fill="F2F2F2" w:val="clear"/>
            <w:tcMar>
              <w:top w:type="dxa" w:w="60"/>
              <w:left w:type="dxa" w:w="80"/>
              <w:bottom w:type="dxa" w:w="60"/>
              <w:right w:type="dxa" w:w="80"/>
            </w:tcMar>
            <w:vAlign w:val="center"/>
          </w:tcPr>
          <w:p>
            <w:pPr>
              <w:jc w:val="left"/>
            </w:pPr>
            <w:r>
              <w:rPr>
                <w:b w:val="false"/>
                <w:bCs w:val="false"/>
                <w:color w:val="000000"/>
                <w:sz w:val="18"/>
                <w:szCs w:val="18"/>
              </w:rPr>
              <w:t xml:space="preserve">0 conversions recorded</w:t>
            </w:r>
          </w:p>
        </w:tc>
      </w:tr>
      <w:tr>
        <w:tc>
          <w:tcPr>
            <w:tcW w:type="dxa" w:w="3600"/>
            <w:tcMar>
              <w:top w:type="dxa" w:w="60"/>
              <w:left w:type="dxa" w:w="80"/>
              <w:bottom w:type="dxa" w:w="60"/>
              <w:right w:type="dxa" w:w="80"/>
            </w:tcMar>
            <w:vAlign w:val="center"/>
          </w:tcPr>
          <w:p>
            <w:pPr>
              <w:jc w:val="left"/>
            </w:pPr>
            <w:r>
              <w:rPr>
                <w:b w:val="false"/>
                <w:bCs w:val="false"/>
                <w:color w:val="000000"/>
                <w:sz w:val="18"/>
                <w:szCs w:val="18"/>
              </w:rPr>
              <w:t xml:space="preserve">Pmax_India_27/03</w:t>
            </w:r>
          </w:p>
        </w:tc>
        <w:tc>
          <w:tcPr>
            <w:tcW w:type="dxa" w:w="1100"/>
            <w:tcMar>
              <w:top w:type="dxa" w:w="60"/>
              <w:left w:type="dxa" w:w="80"/>
              <w:bottom w:type="dxa" w:w="60"/>
              <w:right w:type="dxa" w:w="80"/>
            </w:tcMar>
            <w:vAlign w:val="center"/>
          </w:tcPr>
          <w:p>
            <w:pPr>
              <w:jc w:val="left"/>
            </w:pPr>
            <w:r>
              <w:rPr>
                <w:b w:val="false"/>
                <w:bCs w:val="false"/>
                <w:color w:val="000000"/>
                <w:sz w:val="18"/>
                <w:szCs w:val="18"/>
              </w:rPr>
              <w:t xml:space="preserve">Google</w:t>
            </w:r>
          </w:p>
        </w:tc>
        <w:tc>
          <w:tcPr>
            <w:tcW w:type="dxa" w:w="1500"/>
            <w:tcMar>
              <w:top w:type="dxa" w:w="60"/>
              <w:left w:type="dxa" w:w="80"/>
              <w:bottom w:type="dxa" w:w="60"/>
              <w:right w:type="dxa" w:w="80"/>
            </w:tcMar>
            <w:vAlign w:val="center"/>
          </w:tcPr>
          <w:p>
            <w:pPr>
              <w:jc w:val="left"/>
            </w:pPr>
            <w:r>
              <w:rPr>
                <w:b w:val="false"/>
                <w:bCs w:val="false"/>
                <w:color w:val="000000"/>
                <w:sz w:val="18"/>
                <w:szCs w:val="18"/>
              </w:rPr>
              <w:t xml:space="preserve">7,280</w:t>
            </w:r>
          </w:p>
        </w:tc>
        <w:tc>
          <w:tcPr>
            <w:tcW w:type="dxa" w:w="1500"/>
            <w:tcMar>
              <w:top w:type="dxa" w:w="60"/>
              <w:left w:type="dxa" w:w="80"/>
              <w:bottom w:type="dxa" w:w="60"/>
              <w:right w:type="dxa" w:w="80"/>
            </w:tcMar>
            <w:vAlign w:val="center"/>
          </w:tcPr>
          <w:p>
            <w:pPr>
              <w:jc w:val="left"/>
            </w:pPr>
            <w:r>
              <w:rPr>
                <w:b w:val="false"/>
                <w:bCs w:val="false"/>
                <w:color w:val="000000"/>
                <w:sz w:val="18"/>
                <w:szCs w:val="18"/>
              </w:rPr>
              <w:t xml:space="preserve">0</w:t>
            </w:r>
          </w:p>
        </w:tc>
        <w:tc>
          <w:tcPr>
            <w:tcW w:type="dxa" w:w="1400"/>
            <w:tcMar>
              <w:top w:type="dxa" w:w="60"/>
              <w:left w:type="dxa" w:w="80"/>
              <w:bottom w:type="dxa" w:w="60"/>
              <w:right w:type="dxa" w:w="80"/>
            </w:tcMar>
            <w:vAlign w:val="center"/>
          </w:tcPr>
          <w:p>
            <w:pPr>
              <w:jc w:val="left"/>
            </w:pPr>
            <w:r>
              <w:rPr>
                <w:b/>
                <w:bCs/>
                <w:color w:val="B03A2E"/>
                <w:sz w:val="18"/>
                <w:szCs w:val="18"/>
              </w:rPr>
              <w:t xml:space="preserve">–7,280</w:t>
            </w:r>
          </w:p>
        </w:tc>
        <w:tc>
          <w:tcPr>
            <w:tcW w:type="dxa" w:w="1100"/>
            <w:tcMar>
              <w:top w:type="dxa" w:w="60"/>
              <w:left w:type="dxa" w:w="80"/>
              <w:bottom w:type="dxa" w:w="60"/>
              <w:right w:type="dxa" w:w="80"/>
            </w:tcMar>
            <w:vAlign w:val="center"/>
          </w:tcPr>
          <w:p>
            <w:pPr>
              <w:jc w:val="left"/>
            </w:pPr>
            <w:r>
              <w:rPr>
                <w:b/>
                <w:bCs/>
                <w:color w:val="B03A2E"/>
                <w:sz w:val="18"/>
                <w:szCs w:val="18"/>
              </w:rPr>
              <w:t xml:space="preserve">KILL</w:t>
            </w:r>
          </w:p>
        </w:tc>
        <w:tc>
          <w:tcPr>
            <w:tcW w:type="dxa" w:w="3900"/>
            <w:tcMar>
              <w:top w:type="dxa" w:w="60"/>
              <w:left w:type="dxa" w:w="80"/>
              <w:bottom w:type="dxa" w:w="60"/>
              <w:right w:type="dxa" w:w="80"/>
            </w:tcMar>
            <w:vAlign w:val="center"/>
          </w:tcPr>
          <w:p>
            <w:pPr>
              <w:jc w:val="left"/>
            </w:pPr>
            <w:r>
              <w:rPr>
                <w:b w:val="false"/>
                <w:bCs w:val="false"/>
                <w:color w:val="000000"/>
                <w:sz w:val="18"/>
                <w:szCs w:val="18"/>
              </w:rPr>
              <w:t xml:space="preserve">0 conversions recorded</w:t>
            </w:r>
          </w:p>
        </w:tc>
      </w:tr>
      <w:tr>
        <w:tc>
          <w:tcPr>
            <w:tcW w:type="dxa" w:w="3600"/>
            <w:shd w:fill="F2F2F2" w:val="clear"/>
            <w:tcMar>
              <w:top w:type="dxa" w:w="60"/>
              <w:left w:type="dxa" w:w="80"/>
              <w:bottom w:type="dxa" w:w="60"/>
              <w:right w:type="dxa" w:w="80"/>
            </w:tcMar>
            <w:vAlign w:val="center"/>
          </w:tcPr>
          <w:p>
            <w:pPr>
              <w:jc w:val="left"/>
            </w:pPr>
            <w:r>
              <w:rPr>
                <w:b w:val="false"/>
                <w:bCs w:val="false"/>
                <w:color w:val="000000"/>
                <w:sz w:val="18"/>
                <w:szCs w:val="18"/>
              </w:rPr>
              <w:t xml:space="preserve">MOF &amp; BOF|Sale|India+intl</w:t>
            </w:r>
          </w:p>
        </w:tc>
        <w:tc>
          <w:tcPr>
            <w:tcW w:type="dxa" w:w="1100"/>
            <w:shd w:fill="F2F2F2" w:val="clear"/>
            <w:tcMar>
              <w:top w:type="dxa" w:w="60"/>
              <w:left w:type="dxa" w:w="80"/>
              <w:bottom w:type="dxa" w:w="60"/>
              <w:right w:type="dxa" w:w="80"/>
            </w:tcMar>
            <w:vAlign w:val="center"/>
          </w:tcPr>
          <w:p>
            <w:pPr>
              <w:jc w:val="left"/>
            </w:pPr>
            <w:r>
              <w:rPr>
                <w:b w:val="false"/>
                <w:bCs w:val="false"/>
                <w:color w:val="000000"/>
                <w:sz w:val="18"/>
                <w:szCs w:val="18"/>
              </w:rPr>
              <w:t xml:space="preserve">Meta</w:t>
            </w:r>
          </w:p>
        </w:tc>
        <w:tc>
          <w:tcPr>
            <w:tcW w:type="dxa" w:w="1500"/>
            <w:shd w:fill="F2F2F2" w:val="clear"/>
            <w:tcMar>
              <w:top w:type="dxa" w:w="60"/>
              <w:left w:type="dxa" w:w="80"/>
              <w:bottom w:type="dxa" w:w="60"/>
              <w:right w:type="dxa" w:w="80"/>
            </w:tcMar>
            <w:vAlign w:val="center"/>
          </w:tcPr>
          <w:p>
            <w:pPr>
              <w:jc w:val="left"/>
            </w:pPr>
            <w:r>
              <w:rPr>
                <w:b w:val="false"/>
                <w:bCs w:val="false"/>
                <w:color w:val="000000"/>
                <w:sz w:val="18"/>
                <w:szCs w:val="18"/>
              </w:rPr>
              <w:t xml:space="preserve">15,73,536</w:t>
            </w:r>
          </w:p>
        </w:tc>
        <w:tc>
          <w:tcPr>
            <w:tcW w:type="dxa" w:w="1500"/>
            <w:shd w:fill="F2F2F2" w:val="clear"/>
            <w:tcMar>
              <w:top w:type="dxa" w:w="60"/>
              <w:left w:type="dxa" w:w="80"/>
              <w:bottom w:type="dxa" w:w="60"/>
              <w:right w:type="dxa" w:w="80"/>
            </w:tcMar>
            <w:vAlign w:val="center"/>
          </w:tcPr>
          <w:p>
            <w:pPr>
              <w:jc w:val="left"/>
            </w:pPr>
            <w:r>
              <w:rPr>
                <w:b w:val="false"/>
                <w:bCs w:val="false"/>
                <w:color w:val="000000"/>
                <w:sz w:val="18"/>
                <w:szCs w:val="18"/>
              </w:rPr>
              <w:t xml:space="preserve">14,50,000</w:t>
            </w:r>
          </w:p>
        </w:tc>
        <w:tc>
          <w:tcPr>
            <w:tcW w:type="dxa" w:w="1400"/>
            <w:shd w:fill="F2F2F2" w:val="clear"/>
            <w:tcMar>
              <w:top w:type="dxa" w:w="60"/>
              <w:left w:type="dxa" w:w="80"/>
              <w:bottom w:type="dxa" w:w="60"/>
              <w:right w:type="dxa" w:w="80"/>
            </w:tcMar>
            <w:vAlign w:val="center"/>
          </w:tcPr>
          <w:p>
            <w:pPr>
              <w:jc w:val="left"/>
            </w:pPr>
            <w:r>
              <w:rPr>
                <w:b w:val="false"/>
                <w:bCs w:val="false"/>
                <w:color w:val="C0392B"/>
                <w:sz w:val="18"/>
                <w:szCs w:val="18"/>
              </w:rPr>
              <w:t xml:space="preserve">–1,23,536</w:t>
            </w:r>
          </w:p>
        </w:tc>
        <w:tc>
          <w:tcPr>
            <w:tcW w:type="dxa" w:w="1100"/>
            <w:shd w:fill="F2F2F2" w:val="clear"/>
            <w:tcMar>
              <w:top w:type="dxa" w:w="60"/>
              <w:left w:type="dxa" w:w="80"/>
              <w:bottom w:type="dxa" w:w="60"/>
              <w:right w:type="dxa" w:w="80"/>
            </w:tcMar>
            <w:vAlign w:val="center"/>
          </w:tcPr>
          <w:p>
            <w:pPr>
              <w:jc w:val="left"/>
            </w:pPr>
            <w:r>
              <w:rPr>
                <w:b w:val="false"/>
                <w:bCs w:val="false"/>
                <w:color w:val="C0392B"/>
                <w:sz w:val="18"/>
                <w:szCs w:val="18"/>
              </w:rPr>
              <w:t xml:space="preserve">REDUCE + REFRESH</w:t>
            </w:r>
          </w:p>
        </w:tc>
        <w:tc>
          <w:tcPr>
            <w:tcW w:type="dxa" w:w="3900"/>
            <w:shd w:fill="F2F2F2" w:val="clear"/>
            <w:tcMar>
              <w:top w:type="dxa" w:w="60"/>
              <w:left w:type="dxa" w:w="80"/>
              <w:bottom w:type="dxa" w:w="60"/>
              <w:right w:type="dxa" w:w="80"/>
            </w:tcMar>
            <w:vAlign w:val="center"/>
          </w:tcPr>
          <w:p>
            <w:pPr>
              <w:jc w:val="left"/>
            </w:pPr>
            <w:r>
              <w:rPr>
                <w:b w:val="false"/>
                <w:bCs w:val="false"/>
                <w:color w:val="000000"/>
                <w:sz w:val="18"/>
                <w:szCs w:val="18"/>
              </w:rPr>
              <w:t xml:space="preserve">2.28x overall but fell to 1.19x by Aug even as spend was cut — needs new creative before more budget, not less discipline</w:t>
            </w:r>
          </w:p>
        </w:tc>
      </w:tr>
      <w:tr>
        <w:tc>
          <w:tcPr>
            <w:tcW w:type="dxa" w:w="3600"/>
            <w:tcMar>
              <w:top w:type="dxa" w:w="60"/>
              <w:left w:type="dxa" w:w="80"/>
              <w:bottom w:type="dxa" w:w="60"/>
              <w:right w:type="dxa" w:w="80"/>
            </w:tcMar>
            <w:vAlign w:val="center"/>
          </w:tcPr>
          <w:p>
            <w:pPr>
              <w:jc w:val="left"/>
            </w:pPr>
            <w:r>
              <w:rPr>
                <w:b w:val="false"/>
                <w:bCs w:val="false"/>
                <w:color w:val="000000"/>
                <w:sz w:val="18"/>
                <w:szCs w:val="18"/>
              </w:rPr>
              <w:t xml:space="preserve">Conv|Multi Category|Ind|Direct</w:t>
            </w:r>
          </w:p>
        </w:tc>
        <w:tc>
          <w:tcPr>
            <w:tcW w:type="dxa" w:w="1100"/>
            <w:tcMar>
              <w:top w:type="dxa" w:w="60"/>
              <w:left w:type="dxa" w:w="80"/>
              <w:bottom w:type="dxa" w:w="60"/>
              <w:right w:type="dxa" w:w="80"/>
            </w:tcMar>
            <w:vAlign w:val="center"/>
          </w:tcPr>
          <w:p>
            <w:pPr>
              <w:jc w:val="left"/>
            </w:pPr>
            <w:r>
              <w:rPr>
                <w:b w:val="false"/>
                <w:bCs w:val="false"/>
                <w:color w:val="000000"/>
                <w:sz w:val="18"/>
                <w:szCs w:val="18"/>
              </w:rPr>
              <w:t xml:space="preserve">Meta</w:t>
            </w:r>
          </w:p>
        </w:tc>
        <w:tc>
          <w:tcPr>
            <w:tcW w:type="dxa" w:w="1500"/>
            <w:tcMar>
              <w:top w:type="dxa" w:w="60"/>
              <w:left w:type="dxa" w:w="80"/>
              <w:bottom w:type="dxa" w:w="60"/>
              <w:right w:type="dxa" w:w="80"/>
            </w:tcMar>
            <w:vAlign w:val="center"/>
          </w:tcPr>
          <w:p>
            <w:pPr>
              <w:jc w:val="left"/>
            </w:pPr>
            <w:r>
              <w:rPr>
                <w:b w:val="false"/>
                <w:bCs w:val="false"/>
                <w:color w:val="000000"/>
                <w:sz w:val="18"/>
                <w:szCs w:val="18"/>
              </w:rPr>
              <w:t xml:space="preserve">12,73,793</w:t>
            </w:r>
          </w:p>
        </w:tc>
        <w:tc>
          <w:tcPr>
            <w:tcW w:type="dxa" w:w="1500"/>
            <w:tcMar>
              <w:top w:type="dxa" w:w="60"/>
              <w:left w:type="dxa" w:w="80"/>
              <w:bottom w:type="dxa" w:w="60"/>
              <w:right w:type="dxa" w:w="80"/>
            </w:tcMar>
            <w:vAlign w:val="center"/>
          </w:tcPr>
          <w:p>
            <w:pPr>
              <w:jc w:val="left"/>
            </w:pPr>
            <w:r>
              <w:rPr>
                <w:b w:val="false"/>
                <w:bCs w:val="false"/>
                <w:color w:val="000000"/>
                <w:sz w:val="18"/>
                <w:szCs w:val="18"/>
              </w:rPr>
              <w:t xml:space="preserve">9,00,000</w:t>
            </w:r>
          </w:p>
        </w:tc>
        <w:tc>
          <w:tcPr>
            <w:tcW w:type="dxa" w:w="1400"/>
            <w:tcMar>
              <w:top w:type="dxa" w:w="60"/>
              <w:left w:type="dxa" w:w="80"/>
              <w:bottom w:type="dxa" w:w="60"/>
              <w:right w:type="dxa" w:w="80"/>
            </w:tcMar>
            <w:vAlign w:val="center"/>
          </w:tcPr>
          <w:p>
            <w:pPr>
              <w:jc w:val="left"/>
            </w:pPr>
            <w:r>
              <w:rPr>
                <w:b/>
                <w:bCs/>
                <w:color w:val="B03A2E"/>
                <w:sz w:val="18"/>
                <w:szCs w:val="18"/>
              </w:rPr>
              <w:t xml:space="preserve">–3,73,793</w:t>
            </w:r>
          </w:p>
        </w:tc>
        <w:tc>
          <w:tcPr>
            <w:tcW w:type="dxa" w:w="1100"/>
            <w:tcMar>
              <w:top w:type="dxa" w:w="60"/>
              <w:left w:type="dxa" w:w="80"/>
              <w:bottom w:type="dxa" w:w="60"/>
              <w:right w:type="dxa" w:w="80"/>
            </w:tcMar>
            <w:vAlign w:val="center"/>
          </w:tcPr>
          <w:p>
            <w:pPr>
              <w:jc w:val="left"/>
            </w:pPr>
            <w:r>
              <w:rPr>
                <w:b/>
                <w:bCs/>
                <w:color w:val="B03A2E"/>
                <w:sz w:val="18"/>
                <w:szCs w:val="18"/>
              </w:rPr>
              <w:t xml:space="preserve">REDUCE</w:t>
            </w:r>
          </w:p>
        </w:tc>
        <w:tc>
          <w:tcPr>
            <w:tcW w:type="dxa" w:w="3900"/>
            <w:tcMar>
              <w:top w:type="dxa" w:w="60"/>
              <w:left w:type="dxa" w:w="80"/>
              <w:bottom w:type="dxa" w:w="60"/>
              <w:right w:type="dxa" w:w="80"/>
            </w:tcMar>
            <w:vAlign w:val="center"/>
          </w:tcPr>
          <w:p>
            <w:pPr>
              <w:jc w:val="left"/>
            </w:pPr>
            <w:r>
              <w:rPr>
                <w:b w:val="false"/>
                <w:bCs w:val="false"/>
                <w:color w:val="000000"/>
                <w:sz w:val="18"/>
                <w:szCs w:val="18"/>
              </w:rPr>
              <w:t xml:space="preserve">ROAS collapsed 6.99x→1.43x as spend scaled 35x — clear audience saturation, scale back to where efficiency was healthier</w:t>
            </w:r>
          </w:p>
        </w:tc>
      </w:tr>
      <w:tr>
        <w:tc>
          <w:tcPr>
            <w:tcW w:type="dxa" w:w="3600"/>
            <w:shd w:fill="F2F2F2" w:val="clear"/>
            <w:tcMar>
              <w:top w:type="dxa" w:w="60"/>
              <w:left w:type="dxa" w:w="80"/>
              <w:bottom w:type="dxa" w:w="60"/>
              <w:right w:type="dxa" w:w="80"/>
            </w:tcMar>
            <w:vAlign w:val="center"/>
          </w:tcPr>
          <w:p>
            <w:pPr>
              <w:jc w:val="left"/>
            </w:pPr>
            <w:r>
              <w:rPr>
                <w:b w:val="false"/>
                <w:bCs w:val="false"/>
                <w:color w:val="000000"/>
                <w:sz w:val="18"/>
                <w:szCs w:val="18"/>
              </w:rPr>
              <w:t xml:space="preserve">Conv|Multicategory|US|Direct</w:t>
            </w:r>
          </w:p>
        </w:tc>
        <w:tc>
          <w:tcPr>
            <w:tcW w:type="dxa" w:w="1100"/>
            <w:shd w:fill="F2F2F2" w:val="clear"/>
            <w:tcMar>
              <w:top w:type="dxa" w:w="60"/>
              <w:left w:type="dxa" w:w="80"/>
              <w:bottom w:type="dxa" w:w="60"/>
              <w:right w:type="dxa" w:w="80"/>
            </w:tcMar>
            <w:vAlign w:val="center"/>
          </w:tcPr>
          <w:p>
            <w:pPr>
              <w:jc w:val="left"/>
            </w:pPr>
            <w:r>
              <w:rPr>
                <w:b w:val="false"/>
                <w:bCs w:val="false"/>
                <w:color w:val="000000"/>
                <w:sz w:val="18"/>
                <w:szCs w:val="18"/>
              </w:rPr>
              <w:t xml:space="preserve">Meta</w:t>
            </w:r>
          </w:p>
        </w:tc>
        <w:tc>
          <w:tcPr>
            <w:tcW w:type="dxa" w:w="1500"/>
            <w:shd w:fill="F2F2F2" w:val="clear"/>
            <w:tcMar>
              <w:top w:type="dxa" w:w="60"/>
              <w:left w:type="dxa" w:w="80"/>
              <w:bottom w:type="dxa" w:w="60"/>
              <w:right w:type="dxa" w:w="80"/>
            </w:tcMar>
            <w:vAlign w:val="center"/>
          </w:tcPr>
          <w:p>
            <w:pPr>
              <w:jc w:val="left"/>
            </w:pPr>
            <w:r>
              <w:rPr>
                <w:b w:val="false"/>
                <w:bCs w:val="false"/>
                <w:color w:val="000000"/>
                <w:sz w:val="18"/>
                <w:szCs w:val="18"/>
              </w:rPr>
              <w:t xml:space="preserve">5,13,697</w:t>
            </w:r>
          </w:p>
        </w:tc>
        <w:tc>
          <w:tcPr>
            <w:tcW w:type="dxa" w:w="1500"/>
            <w:shd w:fill="F2F2F2" w:val="clear"/>
            <w:tcMar>
              <w:top w:type="dxa" w:w="60"/>
              <w:left w:type="dxa" w:w="80"/>
              <w:bottom w:type="dxa" w:w="60"/>
              <w:right w:type="dxa" w:w="80"/>
            </w:tcMar>
            <w:vAlign w:val="center"/>
          </w:tcPr>
          <w:p>
            <w:pPr>
              <w:jc w:val="left"/>
            </w:pPr>
            <w:r>
              <w:rPr>
                <w:b w:val="false"/>
                <w:bCs w:val="false"/>
                <w:color w:val="000000"/>
                <w:sz w:val="18"/>
                <w:szCs w:val="18"/>
              </w:rPr>
              <w:t xml:space="preserve">7,00,000</w:t>
            </w:r>
          </w:p>
        </w:tc>
        <w:tc>
          <w:tcPr>
            <w:tcW w:type="dxa" w:w="1400"/>
            <w:shd w:fill="F2F2F2" w:val="clear"/>
            <w:tcMar>
              <w:top w:type="dxa" w:w="60"/>
              <w:left w:type="dxa" w:w="80"/>
              <w:bottom w:type="dxa" w:w="60"/>
              <w:right w:type="dxa" w:w="80"/>
            </w:tcMar>
            <w:vAlign w:val="center"/>
          </w:tcPr>
          <w:p>
            <w:pPr>
              <w:jc w:val="left"/>
            </w:pPr>
            <w:r>
              <w:rPr>
                <w:b/>
                <w:bCs/>
                <w:color w:val="1E7B45"/>
                <w:sz w:val="18"/>
                <w:szCs w:val="18"/>
              </w:rPr>
              <w:t xml:space="preserve">+1,86,303</w:t>
            </w:r>
          </w:p>
        </w:tc>
        <w:tc>
          <w:tcPr>
            <w:tcW w:type="dxa" w:w="1100"/>
            <w:shd w:fill="F2F2F2" w:val="clear"/>
            <w:tcMar>
              <w:top w:type="dxa" w:w="60"/>
              <w:left w:type="dxa" w:w="80"/>
              <w:bottom w:type="dxa" w:w="60"/>
              <w:right w:type="dxa" w:w="80"/>
            </w:tcMar>
            <w:vAlign w:val="center"/>
          </w:tcPr>
          <w:p>
            <w:pPr>
              <w:jc w:val="left"/>
            </w:pPr>
            <w:r>
              <w:rPr>
                <w:b/>
                <w:bCs/>
                <w:color w:val="1E7B45"/>
                <w:sz w:val="18"/>
                <w:szCs w:val="18"/>
              </w:rPr>
              <w:t xml:space="preserve">SCALE</w:t>
            </w:r>
          </w:p>
        </w:tc>
        <w:tc>
          <w:tcPr>
            <w:tcW w:type="dxa" w:w="3900"/>
            <w:shd w:fill="F2F2F2" w:val="clear"/>
            <w:tcMar>
              <w:top w:type="dxa" w:w="60"/>
              <w:left w:type="dxa" w:w="80"/>
              <w:bottom w:type="dxa" w:w="60"/>
              <w:right w:type="dxa" w:w="80"/>
            </w:tcMar>
            <w:vAlign w:val="center"/>
          </w:tcPr>
          <w:p>
            <w:pPr>
              <w:jc w:val="left"/>
            </w:pPr>
            <w:r>
              <w:rPr>
                <w:b w:val="false"/>
                <w:bCs w:val="false"/>
                <w:color w:val="000000"/>
                <w:sz w:val="18"/>
                <w:szCs w:val="18"/>
              </w:rPr>
              <w:t xml:space="preserve">ROAS improving as it scales (1.00x→3.19x→2.63x) — opposite pattern to the India mega-campaigns; genuine room to grow</w:t>
            </w:r>
          </w:p>
        </w:tc>
      </w:tr>
      <w:tr>
        <w:tc>
          <w:tcPr>
            <w:tcW w:type="dxa" w:w="3600"/>
            <w:tcMar>
              <w:top w:type="dxa" w:w="60"/>
              <w:left w:type="dxa" w:w="80"/>
              <w:bottom w:type="dxa" w:w="60"/>
              <w:right w:type="dxa" w:w="80"/>
            </w:tcMar>
            <w:vAlign w:val="center"/>
          </w:tcPr>
          <w:p>
            <w:pPr>
              <w:jc w:val="left"/>
            </w:pPr>
            <w:r>
              <w:rPr>
                <w:b w:val="false"/>
                <w:bCs w:val="false"/>
                <w:color w:val="000000"/>
                <w:sz w:val="18"/>
                <w:szCs w:val="18"/>
              </w:rPr>
              <w:t xml:space="preserve">Conv|Multicategory|INT|Direct</w:t>
            </w:r>
          </w:p>
        </w:tc>
        <w:tc>
          <w:tcPr>
            <w:tcW w:type="dxa" w:w="1100"/>
            <w:tcMar>
              <w:top w:type="dxa" w:w="60"/>
              <w:left w:type="dxa" w:w="80"/>
              <w:bottom w:type="dxa" w:w="60"/>
              <w:right w:type="dxa" w:w="80"/>
            </w:tcMar>
            <w:vAlign w:val="center"/>
          </w:tcPr>
          <w:p>
            <w:pPr>
              <w:jc w:val="left"/>
            </w:pPr>
            <w:r>
              <w:rPr>
                <w:b w:val="false"/>
                <w:bCs w:val="false"/>
                <w:color w:val="000000"/>
                <w:sz w:val="18"/>
                <w:szCs w:val="18"/>
              </w:rPr>
              <w:t xml:space="preserve">Meta</w:t>
            </w:r>
          </w:p>
        </w:tc>
        <w:tc>
          <w:tcPr>
            <w:tcW w:type="dxa" w:w="1500"/>
            <w:tcMar>
              <w:top w:type="dxa" w:w="60"/>
              <w:left w:type="dxa" w:w="80"/>
              <w:bottom w:type="dxa" w:w="60"/>
              <w:right w:type="dxa" w:w="80"/>
            </w:tcMar>
            <w:vAlign w:val="center"/>
          </w:tcPr>
          <w:p>
            <w:pPr>
              <w:jc w:val="left"/>
            </w:pPr>
            <w:r>
              <w:rPr>
                <w:b w:val="false"/>
                <w:bCs w:val="false"/>
                <w:color w:val="000000"/>
                <w:sz w:val="18"/>
                <w:szCs w:val="18"/>
              </w:rPr>
              <w:t xml:space="preserve">4,23,392</w:t>
            </w:r>
          </w:p>
        </w:tc>
        <w:tc>
          <w:tcPr>
            <w:tcW w:type="dxa" w:w="1500"/>
            <w:tcMar>
              <w:top w:type="dxa" w:w="60"/>
              <w:left w:type="dxa" w:w="80"/>
              <w:bottom w:type="dxa" w:w="60"/>
              <w:right w:type="dxa" w:w="80"/>
            </w:tcMar>
            <w:vAlign w:val="center"/>
          </w:tcPr>
          <w:p>
            <w:pPr>
              <w:jc w:val="left"/>
            </w:pPr>
            <w:r>
              <w:rPr>
                <w:b w:val="false"/>
                <w:bCs w:val="false"/>
                <w:color w:val="000000"/>
                <w:sz w:val="18"/>
                <w:szCs w:val="18"/>
              </w:rPr>
              <w:t xml:space="preserve">2,00,000</w:t>
            </w:r>
          </w:p>
        </w:tc>
        <w:tc>
          <w:tcPr>
            <w:tcW w:type="dxa" w:w="1400"/>
            <w:tcMar>
              <w:top w:type="dxa" w:w="60"/>
              <w:left w:type="dxa" w:w="80"/>
              <w:bottom w:type="dxa" w:w="60"/>
              <w:right w:type="dxa" w:w="80"/>
            </w:tcMar>
            <w:vAlign w:val="center"/>
          </w:tcPr>
          <w:p>
            <w:pPr>
              <w:jc w:val="left"/>
            </w:pPr>
            <w:r>
              <w:rPr>
                <w:b/>
                <w:bCs/>
                <w:color w:val="B03A2E"/>
                <w:sz w:val="18"/>
                <w:szCs w:val="18"/>
              </w:rPr>
              <w:t xml:space="preserve">–2,23,392</w:t>
            </w:r>
          </w:p>
        </w:tc>
        <w:tc>
          <w:tcPr>
            <w:tcW w:type="dxa" w:w="1100"/>
            <w:tcMar>
              <w:top w:type="dxa" w:w="60"/>
              <w:left w:type="dxa" w:w="80"/>
              <w:bottom w:type="dxa" w:w="60"/>
              <w:right w:type="dxa" w:w="80"/>
            </w:tcMar>
            <w:vAlign w:val="center"/>
          </w:tcPr>
          <w:p>
            <w:pPr>
              <w:jc w:val="left"/>
            </w:pPr>
            <w:r>
              <w:rPr>
                <w:b/>
                <w:bCs/>
                <w:color w:val="B03A2E"/>
                <w:sz w:val="18"/>
                <w:szCs w:val="18"/>
              </w:rPr>
              <w:t xml:space="preserve">REDUCE</w:t>
            </w:r>
          </w:p>
        </w:tc>
        <w:tc>
          <w:tcPr>
            <w:tcW w:type="dxa" w:w="3900"/>
            <w:tcMar>
              <w:top w:type="dxa" w:w="60"/>
              <w:left w:type="dxa" w:w="80"/>
              <w:bottom w:type="dxa" w:w="60"/>
              <w:right w:type="dxa" w:w="80"/>
            </w:tcMar>
            <w:vAlign w:val="center"/>
          </w:tcPr>
          <w:p>
            <w:pPr>
              <w:jc w:val="left"/>
            </w:pPr>
            <w:r>
              <w:rPr>
                <w:b w:val="false"/>
                <w:bCs w:val="false"/>
                <w:color w:val="000000"/>
                <w:sz w:val="18"/>
                <w:szCs w:val="18"/>
              </w:rPr>
              <w:t xml:space="preserve">1.11x ROAS — near break-even, weakest large campaign after the two above</w:t>
            </w:r>
          </w:p>
        </w:tc>
      </w:tr>
      <w:tr>
        <w:tc>
          <w:tcPr>
            <w:tcW w:type="dxa" w:w="3600"/>
            <w:shd w:fill="F2F2F2" w:val="clear"/>
            <w:tcMar>
              <w:top w:type="dxa" w:w="60"/>
              <w:left w:type="dxa" w:w="80"/>
              <w:bottom w:type="dxa" w:w="60"/>
              <w:right w:type="dxa" w:w="80"/>
            </w:tcMar>
            <w:vAlign w:val="center"/>
          </w:tcPr>
          <w:p>
            <w:pPr>
              <w:jc w:val="left"/>
            </w:pPr>
            <w:r>
              <w:rPr>
                <w:b w:val="false"/>
                <w:bCs w:val="false"/>
                <w:color w:val="000000"/>
                <w:sz w:val="18"/>
                <w:szCs w:val="18"/>
              </w:rPr>
              <w:t xml:space="preserve">Conv|Multicategory|CA|Direct</w:t>
            </w:r>
          </w:p>
        </w:tc>
        <w:tc>
          <w:tcPr>
            <w:tcW w:type="dxa" w:w="1100"/>
            <w:shd w:fill="F2F2F2" w:val="clear"/>
            <w:tcMar>
              <w:top w:type="dxa" w:w="60"/>
              <w:left w:type="dxa" w:w="80"/>
              <w:bottom w:type="dxa" w:w="60"/>
              <w:right w:type="dxa" w:w="80"/>
            </w:tcMar>
            <w:vAlign w:val="center"/>
          </w:tcPr>
          <w:p>
            <w:pPr>
              <w:jc w:val="left"/>
            </w:pPr>
            <w:r>
              <w:rPr>
                <w:b w:val="false"/>
                <w:bCs w:val="false"/>
                <w:color w:val="000000"/>
                <w:sz w:val="18"/>
                <w:szCs w:val="18"/>
              </w:rPr>
              <w:t xml:space="preserve">Meta</w:t>
            </w:r>
          </w:p>
        </w:tc>
        <w:tc>
          <w:tcPr>
            <w:tcW w:type="dxa" w:w="1500"/>
            <w:shd w:fill="F2F2F2" w:val="clear"/>
            <w:tcMar>
              <w:top w:type="dxa" w:w="60"/>
              <w:left w:type="dxa" w:w="80"/>
              <w:bottom w:type="dxa" w:w="60"/>
              <w:right w:type="dxa" w:w="80"/>
            </w:tcMar>
            <w:vAlign w:val="center"/>
          </w:tcPr>
          <w:p>
            <w:pPr>
              <w:jc w:val="left"/>
            </w:pPr>
            <w:r>
              <w:rPr>
                <w:b w:val="false"/>
                <w:bCs w:val="false"/>
                <w:color w:val="000000"/>
                <w:sz w:val="18"/>
                <w:szCs w:val="18"/>
              </w:rPr>
              <w:t xml:space="preserve">4,19,924</w:t>
            </w:r>
          </w:p>
        </w:tc>
        <w:tc>
          <w:tcPr>
            <w:tcW w:type="dxa" w:w="1500"/>
            <w:shd w:fill="F2F2F2" w:val="clear"/>
            <w:tcMar>
              <w:top w:type="dxa" w:w="60"/>
              <w:left w:type="dxa" w:w="80"/>
              <w:bottom w:type="dxa" w:w="60"/>
              <w:right w:type="dxa" w:w="80"/>
            </w:tcMar>
            <w:vAlign w:val="center"/>
          </w:tcPr>
          <w:p>
            <w:pPr>
              <w:jc w:val="left"/>
            </w:pPr>
            <w:r>
              <w:rPr>
                <w:b w:val="false"/>
                <w:bCs w:val="false"/>
                <w:color w:val="000000"/>
                <w:sz w:val="18"/>
                <w:szCs w:val="18"/>
              </w:rPr>
              <w:t xml:space="preserve">4,50,000</w:t>
            </w:r>
          </w:p>
        </w:tc>
        <w:tc>
          <w:tcPr>
            <w:tcW w:type="dxa" w:w="1400"/>
            <w:shd w:fill="F2F2F2" w:val="clear"/>
            <w:tcMar>
              <w:top w:type="dxa" w:w="60"/>
              <w:left w:type="dxa" w:w="80"/>
              <w:bottom w:type="dxa" w:w="60"/>
              <w:right w:type="dxa" w:w="80"/>
            </w:tcMar>
            <w:vAlign w:val="center"/>
          </w:tcPr>
          <w:p>
            <w:pPr>
              <w:jc w:val="left"/>
            </w:pPr>
            <w:r>
              <w:rPr>
                <w:b w:val="false"/>
                <w:bCs w:val="false"/>
                <w:color w:val="1E7B45"/>
                <w:sz w:val="18"/>
                <w:szCs w:val="18"/>
              </w:rPr>
              <w:t xml:space="preserve">+30,076</w:t>
            </w:r>
          </w:p>
        </w:tc>
        <w:tc>
          <w:tcPr>
            <w:tcW w:type="dxa" w:w="1100"/>
            <w:shd w:fill="F2F2F2" w:val="clear"/>
            <w:tcMar>
              <w:top w:type="dxa" w:w="60"/>
              <w:left w:type="dxa" w:w="80"/>
              <w:bottom w:type="dxa" w:w="60"/>
              <w:right w:type="dxa" w:w="80"/>
            </w:tcMar>
            <w:vAlign w:val="center"/>
          </w:tcPr>
          <w:p>
            <w:pPr>
              <w:jc w:val="left"/>
            </w:pPr>
            <w:r>
              <w:rPr>
                <w:b w:val="false"/>
                <w:bCs w:val="false"/>
                <w:color w:val="000000"/>
                <w:sz w:val="18"/>
                <w:szCs w:val="18"/>
              </w:rPr>
              <w:t xml:space="preserve">MAINTAIN</w:t>
            </w:r>
          </w:p>
        </w:tc>
        <w:tc>
          <w:tcPr>
            <w:tcW w:type="dxa" w:w="3900"/>
            <w:shd w:fill="F2F2F2" w:val="clear"/>
            <w:tcMar>
              <w:top w:type="dxa" w:w="60"/>
              <w:left w:type="dxa" w:w="80"/>
              <w:bottom w:type="dxa" w:w="60"/>
              <w:right w:type="dxa" w:w="80"/>
            </w:tcMar>
            <w:vAlign w:val="center"/>
          </w:tcPr>
          <w:p>
            <w:pPr>
              <w:jc w:val="left"/>
            </w:pPr>
            <w:r>
              <w:rPr>
                <w:b w:val="false"/>
                <w:bCs w:val="false"/>
                <w:color w:val="000000"/>
                <w:sz w:val="18"/>
                <w:szCs w:val="18"/>
              </w:rPr>
              <w:t xml:space="preserve">1.63x ROAS, stable — small increase</w:t>
            </w:r>
          </w:p>
        </w:tc>
      </w:tr>
      <w:tr>
        <w:tc>
          <w:tcPr>
            <w:tcW w:type="dxa" w:w="3600"/>
            <w:tcMar>
              <w:top w:type="dxa" w:w="60"/>
              <w:left w:type="dxa" w:w="80"/>
              <w:bottom w:type="dxa" w:w="60"/>
              <w:right w:type="dxa" w:w="80"/>
            </w:tcMar>
            <w:vAlign w:val="center"/>
          </w:tcPr>
          <w:p>
            <w:pPr>
              <w:jc w:val="left"/>
            </w:pPr>
            <w:r>
              <w:rPr>
                <w:b w:val="false"/>
                <w:bCs w:val="false"/>
                <w:color w:val="000000"/>
                <w:sz w:val="18"/>
                <w:szCs w:val="18"/>
              </w:rPr>
              <w:t xml:space="preserve">TOF|Sale|India</w:t>
            </w:r>
          </w:p>
        </w:tc>
        <w:tc>
          <w:tcPr>
            <w:tcW w:type="dxa" w:w="1100"/>
            <w:tcMar>
              <w:top w:type="dxa" w:w="60"/>
              <w:left w:type="dxa" w:w="80"/>
              <w:bottom w:type="dxa" w:w="60"/>
              <w:right w:type="dxa" w:w="80"/>
            </w:tcMar>
            <w:vAlign w:val="center"/>
          </w:tcPr>
          <w:p>
            <w:pPr>
              <w:jc w:val="left"/>
            </w:pPr>
            <w:r>
              <w:rPr>
                <w:b w:val="false"/>
                <w:bCs w:val="false"/>
                <w:color w:val="000000"/>
                <w:sz w:val="18"/>
                <w:szCs w:val="18"/>
              </w:rPr>
              <w:t xml:space="preserve">Meta</w:t>
            </w:r>
          </w:p>
        </w:tc>
        <w:tc>
          <w:tcPr>
            <w:tcW w:type="dxa" w:w="1500"/>
            <w:tcMar>
              <w:top w:type="dxa" w:w="60"/>
              <w:left w:type="dxa" w:w="80"/>
              <w:bottom w:type="dxa" w:w="60"/>
              <w:right w:type="dxa" w:w="80"/>
            </w:tcMar>
            <w:vAlign w:val="center"/>
          </w:tcPr>
          <w:p>
            <w:pPr>
              <w:jc w:val="left"/>
            </w:pPr>
            <w:r>
              <w:rPr>
                <w:b w:val="false"/>
                <w:bCs w:val="false"/>
                <w:color w:val="000000"/>
                <w:sz w:val="18"/>
                <w:szCs w:val="18"/>
              </w:rPr>
              <w:t xml:space="preserve">3,72,301</w:t>
            </w:r>
          </w:p>
        </w:tc>
        <w:tc>
          <w:tcPr>
            <w:tcW w:type="dxa" w:w="1500"/>
            <w:tcMar>
              <w:top w:type="dxa" w:w="60"/>
              <w:left w:type="dxa" w:w="80"/>
              <w:bottom w:type="dxa" w:w="60"/>
              <w:right w:type="dxa" w:w="80"/>
            </w:tcMar>
            <w:vAlign w:val="center"/>
          </w:tcPr>
          <w:p>
            <w:pPr>
              <w:jc w:val="left"/>
            </w:pPr>
            <w:r>
              <w:rPr>
                <w:b w:val="false"/>
                <w:bCs w:val="false"/>
                <w:color w:val="000000"/>
                <w:sz w:val="18"/>
                <w:szCs w:val="18"/>
              </w:rPr>
              <w:t xml:space="preserve">40,000</w:t>
            </w:r>
          </w:p>
        </w:tc>
        <w:tc>
          <w:tcPr>
            <w:tcW w:type="dxa" w:w="1400"/>
            <w:tcMar>
              <w:top w:type="dxa" w:w="60"/>
              <w:left w:type="dxa" w:w="80"/>
              <w:bottom w:type="dxa" w:w="60"/>
              <w:right w:type="dxa" w:w="80"/>
            </w:tcMar>
            <w:vAlign w:val="center"/>
          </w:tcPr>
          <w:p>
            <w:pPr>
              <w:jc w:val="left"/>
            </w:pPr>
            <w:r>
              <w:rPr>
                <w:b/>
                <w:bCs/>
                <w:color w:val="B03A2E"/>
                <w:sz w:val="18"/>
                <w:szCs w:val="18"/>
              </w:rPr>
              <w:t xml:space="preserve">–3,32,301</w:t>
            </w:r>
          </w:p>
        </w:tc>
        <w:tc>
          <w:tcPr>
            <w:tcW w:type="dxa" w:w="1100"/>
            <w:tcMar>
              <w:top w:type="dxa" w:w="60"/>
              <w:left w:type="dxa" w:w="80"/>
              <w:bottom w:type="dxa" w:w="60"/>
              <w:right w:type="dxa" w:w="80"/>
            </w:tcMar>
            <w:vAlign w:val="center"/>
          </w:tcPr>
          <w:p>
            <w:pPr>
              <w:jc w:val="left"/>
            </w:pPr>
            <w:r>
              <w:rPr>
                <w:b/>
                <w:bCs/>
                <w:color w:val="B03A2E"/>
                <w:sz w:val="18"/>
                <w:szCs w:val="18"/>
              </w:rPr>
              <w:t xml:space="preserve">WIND DOWN</w:t>
            </w:r>
          </w:p>
        </w:tc>
        <w:tc>
          <w:tcPr>
            <w:tcW w:type="dxa" w:w="3900"/>
            <w:tcMar>
              <w:top w:type="dxa" w:w="60"/>
              <w:left w:type="dxa" w:w="80"/>
              <w:bottom w:type="dxa" w:w="60"/>
              <w:right w:type="dxa" w:w="80"/>
            </w:tcMar>
            <w:vAlign w:val="center"/>
          </w:tcPr>
          <w:p>
            <w:pPr>
              <w:jc w:val="left"/>
            </w:pPr>
            <w:r>
              <w:rPr>
                <w:b w:val="false"/>
                <w:bCs w:val="false"/>
                <w:color w:val="000000"/>
                <w:sz w:val="18"/>
                <w:szCs w:val="18"/>
              </w:rPr>
              <w:t xml:space="preserve">Returned ₹8,400 on ₹19,624 spend since June — already effectively dead, formalise the exit</w:t>
            </w:r>
          </w:p>
        </w:tc>
      </w:tr>
      <w:tr>
        <w:tc>
          <w:tcPr>
            <w:tcW w:type="dxa" w:w="3600"/>
            <w:shd w:fill="F2F2F2" w:val="clear"/>
            <w:tcMar>
              <w:top w:type="dxa" w:w="60"/>
              <w:left w:type="dxa" w:w="80"/>
              <w:bottom w:type="dxa" w:w="60"/>
              <w:right w:type="dxa" w:w="80"/>
            </w:tcMar>
            <w:vAlign w:val="center"/>
          </w:tcPr>
          <w:p>
            <w:pPr>
              <w:jc w:val="left"/>
            </w:pPr>
            <w:r>
              <w:rPr>
                <w:b w:val="false"/>
                <w:bCs w:val="false"/>
                <w:color w:val="000000"/>
                <w:sz w:val="18"/>
                <w:szCs w:val="18"/>
              </w:rPr>
              <w:t xml:space="preserve">TOF|Sales|India|Open</w:t>
            </w:r>
          </w:p>
        </w:tc>
        <w:tc>
          <w:tcPr>
            <w:tcW w:type="dxa" w:w="1100"/>
            <w:shd w:fill="F2F2F2" w:val="clear"/>
            <w:tcMar>
              <w:top w:type="dxa" w:w="60"/>
              <w:left w:type="dxa" w:w="80"/>
              <w:bottom w:type="dxa" w:w="60"/>
              <w:right w:type="dxa" w:w="80"/>
            </w:tcMar>
            <w:vAlign w:val="center"/>
          </w:tcPr>
          <w:p>
            <w:pPr>
              <w:jc w:val="left"/>
            </w:pPr>
            <w:r>
              <w:rPr>
                <w:b w:val="false"/>
                <w:bCs w:val="false"/>
                <w:color w:val="000000"/>
                <w:sz w:val="18"/>
                <w:szCs w:val="18"/>
              </w:rPr>
              <w:t xml:space="preserve">Meta</w:t>
            </w:r>
          </w:p>
        </w:tc>
        <w:tc>
          <w:tcPr>
            <w:tcW w:type="dxa" w:w="1500"/>
            <w:shd w:fill="F2F2F2" w:val="clear"/>
            <w:tcMar>
              <w:top w:type="dxa" w:w="60"/>
              <w:left w:type="dxa" w:w="80"/>
              <w:bottom w:type="dxa" w:w="60"/>
              <w:right w:type="dxa" w:w="80"/>
            </w:tcMar>
            <w:vAlign w:val="center"/>
          </w:tcPr>
          <w:p>
            <w:pPr>
              <w:jc w:val="left"/>
            </w:pPr>
            <w:r>
              <w:rPr>
                <w:b w:val="false"/>
                <w:bCs w:val="false"/>
                <w:color w:val="000000"/>
                <w:sz w:val="18"/>
                <w:szCs w:val="18"/>
              </w:rPr>
              <w:t xml:space="preserve">3,69,424</w:t>
            </w:r>
          </w:p>
        </w:tc>
        <w:tc>
          <w:tcPr>
            <w:tcW w:type="dxa" w:w="1500"/>
            <w:shd w:fill="F2F2F2" w:val="clear"/>
            <w:tcMar>
              <w:top w:type="dxa" w:w="60"/>
              <w:left w:type="dxa" w:w="80"/>
              <w:bottom w:type="dxa" w:w="60"/>
              <w:right w:type="dxa" w:w="80"/>
            </w:tcMar>
            <w:vAlign w:val="center"/>
          </w:tcPr>
          <w:p>
            <w:pPr>
              <w:jc w:val="left"/>
            </w:pPr>
            <w:r>
              <w:rPr>
                <w:b w:val="false"/>
                <w:bCs w:val="false"/>
                <w:color w:val="000000"/>
                <w:sz w:val="18"/>
                <w:szCs w:val="18"/>
              </w:rPr>
              <w:t xml:space="preserve">5,50,000</w:t>
            </w:r>
          </w:p>
        </w:tc>
        <w:tc>
          <w:tcPr>
            <w:tcW w:type="dxa" w:w="1400"/>
            <w:shd w:fill="F2F2F2" w:val="clear"/>
            <w:tcMar>
              <w:top w:type="dxa" w:w="60"/>
              <w:left w:type="dxa" w:w="80"/>
              <w:bottom w:type="dxa" w:w="60"/>
              <w:right w:type="dxa" w:w="80"/>
            </w:tcMar>
            <w:vAlign w:val="center"/>
          </w:tcPr>
          <w:p>
            <w:pPr>
              <w:jc w:val="left"/>
            </w:pPr>
            <w:r>
              <w:rPr>
                <w:b/>
                <w:bCs/>
                <w:color w:val="1E7B45"/>
                <w:sz w:val="18"/>
                <w:szCs w:val="18"/>
              </w:rPr>
              <w:t xml:space="preserve">+1,80,576</w:t>
            </w:r>
          </w:p>
        </w:tc>
        <w:tc>
          <w:tcPr>
            <w:tcW w:type="dxa" w:w="1100"/>
            <w:shd w:fill="F2F2F2" w:val="clear"/>
            <w:tcMar>
              <w:top w:type="dxa" w:w="60"/>
              <w:left w:type="dxa" w:w="80"/>
              <w:bottom w:type="dxa" w:w="60"/>
              <w:right w:type="dxa" w:w="80"/>
            </w:tcMar>
            <w:vAlign w:val="center"/>
          </w:tcPr>
          <w:p>
            <w:pPr>
              <w:jc w:val="left"/>
            </w:pPr>
            <w:r>
              <w:rPr>
                <w:b/>
                <w:bCs/>
                <w:color w:val="1E7B45"/>
                <w:sz w:val="18"/>
                <w:szCs w:val="18"/>
              </w:rPr>
              <w:t xml:space="preserve">SCALE</w:t>
            </w:r>
          </w:p>
        </w:tc>
        <w:tc>
          <w:tcPr>
            <w:tcW w:type="dxa" w:w="3900"/>
            <w:shd w:fill="F2F2F2" w:val="clear"/>
            <w:tcMar>
              <w:top w:type="dxa" w:w="60"/>
              <w:left w:type="dxa" w:w="80"/>
              <w:bottom w:type="dxa" w:w="60"/>
              <w:right w:type="dxa" w:w="80"/>
            </w:tcMar>
            <w:vAlign w:val="center"/>
          </w:tcPr>
          <w:p>
            <w:pPr>
              <w:jc w:val="left"/>
            </w:pPr>
            <w:r>
              <w:rPr>
                <w:b w:val="false"/>
                <w:bCs w:val="false"/>
                <w:color w:val="000000"/>
                <w:sz w:val="18"/>
                <w:szCs w:val="18"/>
              </w:rPr>
              <w:t xml:space="preserve">2.12x ROAS, stable, no fatigue signal — broad-audience winner with room to grow</w:t>
            </w:r>
          </w:p>
        </w:tc>
      </w:tr>
      <w:tr>
        <w:tc>
          <w:tcPr>
            <w:tcW w:type="dxa" w:w="3600"/>
            <w:tcMar>
              <w:top w:type="dxa" w:w="60"/>
              <w:left w:type="dxa" w:w="80"/>
              <w:bottom w:type="dxa" w:w="60"/>
              <w:right w:type="dxa" w:w="80"/>
            </w:tcMar>
            <w:vAlign w:val="center"/>
          </w:tcPr>
          <w:p>
            <w:pPr>
              <w:jc w:val="left"/>
            </w:pPr>
            <w:r>
              <w:rPr>
                <w:b w:val="false"/>
                <w:bCs w:val="false"/>
                <w:color w:val="000000"/>
                <w:sz w:val="18"/>
                <w:szCs w:val="18"/>
              </w:rPr>
              <w:t xml:space="preserve">TOF|Sale|US</w:t>
            </w:r>
          </w:p>
        </w:tc>
        <w:tc>
          <w:tcPr>
            <w:tcW w:type="dxa" w:w="1100"/>
            <w:tcMar>
              <w:top w:type="dxa" w:w="60"/>
              <w:left w:type="dxa" w:w="80"/>
              <w:bottom w:type="dxa" w:w="60"/>
              <w:right w:type="dxa" w:w="80"/>
            </w:tcMar>
            <w:vAlign w:val="center"/>
          </w:tcPr>
          <w:p>
            <w:pPr>
              <w:jc w:val="left"/>
            </w:pPr>
            <w:r>
              <w:rPr>
                <w:b w:val="false"/>
                <w:bCs w:val="false"/>
                <w:color w:val="000000"/>
                <w:sz w:val="18"/>
                <w:szCs w:val="18"/>
              </w:rPr>
              <w:t xml:space="preserve">Meta</w:t>
            </w:r>
          </w:p>
        </w:tc>
        <w:tc>
          <w:tcPr>
            <w:tcW w:type="dxa" w:w="1500"/>
            <w:tcMar>
              <w:top w:type="dxa" w:w="60"/>
              <w:left w:type="dxa" w:w="80"/>
              <w:bottom w:type="dxa" w:w="60"/>
              <w:right w:type="dxa" w:w="80"/>
            </w:tcMar>
            <w:vAlign w:val="center"/>
          </w:tcPr>
          <w:p>
            <w:pPr>
              <w:jc w:val="left"/>
            </w:pPr>
            <w:r>
              <w:rPr>
                <w:b w:val="false"/>
                <w:bCs w:val="false"/>
                <w:color w:val="000000"/>
                <w:sz w:val="18"/>
                <w:szCs w:val="18"/>
              </w:rPr>
              <w:t xml:space="preserve">2,96,075</w:t>
            </w:r>
          </w:p>
        </w:tc>
        <w:tc>
          <w:tcPr>
            <w:tcW w:type="dxa" w:w="1500"/>
            <w:tcMar>
              <w:top w:type="dxa" w:w="60"/>
              <w:left w:type="dxa" w:w="80"/>
              <w:bottom w:type="dxa" w:w="60"/>
              <w:right w:type="dxa" w:w="80"/>
            </w:tcMar>
            <w:vAlign w:val="center"/>
          </w:tcPr>
          <w:p>
            <w:pPr>
              <w:jc w:val="left"/>
            </w:pPr>
            <w:r>
              <w:rPr>
                <w:b w:val="false"/>
                <w:bCs w:val="false"/>
                <w:color w:val="000000"/>
                <w:sz w:val="18"/>
                <w:szCs w:val="18"/>
              </w:rPr>
              <w:t xml:space="preserve">4,20,000</w:t>
            </w:r>
          </w:p>
        </w:tc>
        <w:tc>
          <w:tcPr>
            <w:tcW w:type="dxa" w:w="1400"/>
            <w:tcMar>
              <w:top w:type="dxa" w:w="60"/>
              <w:left w:type="dxa" w:w="80"/>
              <w:bottom w:type="dxa" w:w="60"/>
              <w:right w:type="dxa" w:w="80"/>
            </w:tcMar>
            <w:vAlign w:val="center"/>
          </w:tcPr>
          <w:p>
            <w:pPr>
              <w:jc w:val="left"/>
            </w:pPr>
            <w:r>
              <w:rPr>
                <w:b/>
                <w:bCs/>
                <w:color w:val="1E7B45"/>
                <w:sz w:val="18"/>
                <w:szCs w:val="18"/>
              </w:rPr>
              <w:t xml:space="preserve">+1,23,925</w:t>
            </w:r>
          </w:p>
        </w:tc>
        <w:tc>
          <w:tcPr>
            <w:tcW w:type="dxa" w:w="1100"/>
            <w:tcMar>
              <w:top w:type="dxa" w:w="60"/>
              <w:left w:type="dxa" w:w="80"/>
              <w:bottom w:type="dxa" w:w="60"/>
              <w:right w:type="dxa" w:w="80"/>
            </w:tcMar>
            <w:vAlign w:val="center"/>
          </w:tcPr>
          <w:p>
            <w:pPr>
              <w:jc w:val="left"/>
            </w:pPr>
            <w:r>
              <w:rPr>
                <w:b/>
                <w:bCs/>
                <w:color w:val="1E7B45"/>
                <w:sz w:val="18"/>
                <w:szCs w:val="18"/>
              </w:rPr>
              <w:t xml:space="preserve">SCALE</w:t>
            </w:r>
          </w:p>
        </w:tc>
        <w:tc>
          <w:tcPr>
            <w:tcW w:type="dxa" w:w="3900"/>
            <w:tcMar>
              <w:top w:type="dxa" w:w="60"/>
              <w:left w:type="dxa" w:w="80"/>
              <w:bottom w:type="dxa" w:w="60"/>
              <w:right w:type="dxa" w:w="80"/>
            </w:tcMar>
            <w:vAlign w:val="center"/>
          </w:tcPr>
          <w:p>
            <w:pPr>
              <w:jc w:val="left"/>
            </w:pPr>
            <w:r>
              <w:rPr>
                <w:b w:val="false"/>
                <w:bCs w:val="false"/>
                <w:color w:val="000000"/>
                <w:sz w:val="18"/>
                <w:szCs w:val="18"/>
              </w:rPr>
              <w:t xml:space="preserve">2.21x ROAS — second proven US winner alongside the Direct conversion campaign</w:t>
            </w:r>
          </w:p>
        </w:tc>
      </w:tr>
      <w:tr>
        <w:tc>
          <w:tcPr>
            <w:tcW w:type="dxa" w:w="3600"/>
            <w:shd w:fill="F2F2F2" w:val="clear"/>
            <w:tcMar>
              <w:top w:type="dxa" w:w="60"/>
              <w:left w:type="dxa" w:w="80"/>
              <w:bottom w:type="dxa" w:w="60"/>
              <w:right w:type="dxa" w:w="80"/>
            </w:tcMar>
            <w:vAlign w:val="center"/>
          </w:tcPr>
          <w:p>
            <w:pPr>
              <w:jc w:val="left"/>
            </w:pPr>
            <w:r>
              <w:rPr>
                <w:b w:val="false"/>
                <w:bCs w:val="false"/>
                <w:color w:val="000000"/>
                <w:sz w:val="18"/>
                <w:szCs w:val="18"/>
              </w:rPr>
              <w:t xml:space="preserve">Conv|Multi Category|Ind|LAL</w:t>
            </w:r>
          </w:p>
        </w:tc>
        <w:tc>
          <w:tcPr>
            <w:tcW w:type="dxa" w:w="1100"/>
            <w:shd w:fill="F2F2F2" w:val="clear"/>
            <w:tcMar>
              <w:top w:type="dxa" w:w="60"/>
              <w:left w:type="dxa" w:w="80"/>
              <w:bottom w:type="dxa" w:w="60"/>
              <w:right w:type="dxa" w:w="80"/>
            </w:tcMar>
            <w:vAlign w:val="center"/>
          </w:tcPr>
          <w:p>
            <w:pPr>
              <w:jc w:val="left"/>
            </w:pPr>
            <w:r>
              <w:rPr>
                <w:b w:val="false"/>
                <w:bCs w:val="false"/>
                <w:color w:val="000000"/>
                <w:sz w:val="18"/>
                <w:szCs w:val="18"/>
              </w:rPr>
              <w:t xml:space="preserve">Meta</w:t>
            </w:r>
          </w:p>
        </w:tc>
        <w:tc>
          <w:tcPr>
            <w:tcW w:type="dxa" w:w="1500"/>
            <w:shd w:fill="F2F2F2" w:val="clear"/>
            <w:tcMar>
              <w:top w:type="dxa" w:w="60"/>
              <w:left w:type="dxa" w:w="80"/>
              <w:bottom w:type="dxa" w:w="60"/>
              <w:right w:type="dxa" w:w="80"/>
            </w:tcMar>
            <w:vAlign w:val="center"/>
          </w:tcPr>
          <w:p>
            <w:pPr>
              <w:jc w:val="left"/>
            </w:pPr>
            <w:r>
              <w:rPr>
                <w:b w:val="false"/>
                <w:bCs w:val="false"/>
                <w:color w:val="000000"/>
                <w:sz w:val="18"/>
                <w:szCs w:val="18"/>
              </w:rPr>
              <w:t xml:space="preserve">2,20,787</w:t>
            </w:r>
          </w:p>
        </w:tc>
        <w:tc>
          <w:tcPr>
            <w:tcW w:type="dxa" w:w="1500"/>
            <w:shd w:fill="F2F2F2" w:val="clear"/>
            <w:tcMar>
              <w:top w:type="dxa" w:w="60"/>
              <w:left w:type="dxa" w:w="80"/>
              <w:bottom w:type="dxa" w:w="60"/>
              <w:right w:type="dxa" w:w="80"/>
            </w:tcMar>
            <w:vAlign w:val="center"/>
          </w:tcPr>
          <w:p>
            <w:pPr>
              <w:jc w:val="left"/>
            </w:pPr>
            <w:r>
              <w:rPr>
                <w:b w:val="false"/>
                <w:bCs w:val="false"/>
                <w:color w:val="000000"/>
                <w:sz w:val="18"/>
                <w:szCs w:val="18"/>
              </w:rPr>
              <w:t xml:space="preserve">2,50,000</w:t>
            </w:r>
          </w:p>
        </w:tc>
        <w:tc>
          <w:tcPr>
            <w:tcW w:type="dxa" w:w="1400"/>
            <w:shd w:fill="F2F2F2" w:val="clear"/>
            <w:tcMar>
              <w:top w:type="dxa" w:w="60"/>
              <w:left w:type="dxa" w:w="80"/>
              <w:bottom w:type="dxa" w:w="60"/>
              <w:right w:type="dxa" w:w="80"/>
            </w:tcMar>
            <w:vAlign w:val="center"/>
          </w:tcPr>
          <w:p>
            <w:pPr>
              <w:jc w:val="left"/>
            </w:pPr>
            <w:r>
              <w:rPr>
                <w:b w:val="false"/>
                <w:bCs w:val="false"/>
                <w:color w:val="1E7B45"/>
                <w:sz w:val="18"/>
                <w:szCs w:val="18"/>
              </w:rPr>
              <w:t xml:space="preserve">+29,213</w:t>
            </w:r>
          </w:p>
        </w:tc>
        <w:tc>
          <w:tcPr>
            <w:tcW w:type="dxa" w:w="1100"/>
            <w:shd w:fill="F2F2F2" w:val="clear"/>
            <w:tcMar>
              <w:top w:type="dxa" w:w="60"/>
              <w:left w:type="dxa" w:w="80"/>
              <w:bottom w:type="dxa" w:w="60"/>
              <w:right w:type="dxa" w:w="80"/>
            </w:tcMar>
            <w:vAlign w:val="center"/>
          </w:tcPr>
          <w:p>
            <w:pPr>
              <w:jc w:val="left"/>
            </w:pPr>
            <w:r>
              <w:rPr>
                <w:b w:val="false"/>
                <w:bCs w:val="false"/>
                <w:color w:val="000000"/>
                <w:sz w:val="18"/>
                <w:szCs w:val="18"/>
              </w:rPr>
              <w:t xml:space="preserve">MAINTAIN</w:t>
            </w:r>
          </w:p>
        </w:tc>
        <w:tc>
          <w:tcPr>
            <w:tcW w:type="dxa" w:w="3900"/>
            <w:shd w:fill="F2F2F2" w:val="clear"/>
            <w:tcMar>
              <w:top w:type="dxa" w:w="60"/>
              <w:left w:type="dxa" w:w="80"/>
              <w:bottom w:type="dxa" w:w="60"/>
              <w:right w:type="dxa" w:w="80"/>
            </w:tcMar>
            <w:vAlign w:val="center"/>
          </w:tcPr>
          <w:p>
            <w:pPr>
              <w:jc w:val="left"/>
            </w:pPr>
            <w:r>
              <w:rPr>
                <w:b w:val="false"/>
                <w:bCs w:val="false"/>
                <w:color w:val="000000"/>
                <w:sz w:val="18"/>
                <w:szCs w:val="18"/>
              </w:rPr>
              <w:t xml:space="preserve">1.79x ROAS, lookalike audience performing acceptably</w:t>
            </w:r>
          </w:p>
        </w:tc>
      </w:tr>
      <w:tr>
        <w:tc>
          <w:tcPr>
            <w:tcW w:type="dxa" w:w="3600"/>
            <w:tcMar>
              <w:top w:type="dxa" w:w="60"/>
              <w:left w:type="dxa" w:w="80"/>
              <w:bottom w:type="dxa" w:w="60"/>
              <w:right w:type="dxa" w:w="80"/>
            </w:tcMar>
            <w:vAlign w:val="center"/>
          </w:tcPr>
          <w:p>
            <w:pPr>
              <w:jc w:val="left"/>
            </w:pPr>
            <w:r>
              <w:rPr>
                <w:b w:val="false"/>
                <w:bCs w:val="false"/>
                <w:color w:val="000000"/>
                <w:sz w:val="18"/>
                <w:szCs w:val="18"/>
              </w:rPr>
              <w:t xml:space="preserve">TOF|Sales|Australia|EOSS</w:t>
            </w:r>
          </w:p>
        </w:tc>
        <w:tc>
          <w:tcPr>
            <w:tcW w:type="dxa" w:w="1100"/>
            <w:tcMar>
              <w:top w:type="dxa" w:w="60"/>
              <w:left w:type="dxa" w:w="80"/>
              <w:bottom w:type="dxa" w:w="60"/>
              <w:right w:type="dxa" w:w="80"/>
            </w:tcMar>
            <w:vAlign w:val="center"/>
          </w:tcPr>
          <w:p>
            <w:pPr>
              <w:jc w:val="left"/>
            </w:pPr>
            <w:r>
              <w:rPr>
                <w:b w:val="false"/>
                <w:bCs w:val="false"/>
                <w:color w:val="000000"/>
                <w:sz w:val="18"/>
                <w:szCs w:val="18"/>
              </w:rPr>
              <w:t xml:space="preserve">Meta</w:t>
            </w:r>
          </w:p>
        </w:tc>
        <w:tc>
          <w:tcPr>
            <w:tcW w:type="dxa" w:w="1500"/>
            <w:tcMar>
              <w:top w:type="dxa" w:w="60"/>
              <w:left w:type="dxa" w:w="80"/>
              <w:bottom w:type="dxa" w:w="60"/>
              <w:right w:type="dxa" w:w="80"/>
            </w:tcMar>
            <w:vAlign w:val="center"/>
          </w:tcPr>
          <w:p>
            <w:pPr>
              <w:jc w:val="left"/>
            </w:pPr>
            <w:r>
              <w:rPr>
                <w:b w:val="false"/>
                <w:bCs w:val="false"/>
                <w:color w:val="000000"/>
                <w:sz w:val="18"/>
                <w:szCs w:val="18"/>
              </w:rPr>
              <w:t xml:space="preserve">1,99,729</w:t>
            </w:r>
          </w:p>
        </w:tc>
        <w:tc>
          <w:tcPr>
            <w:tcW w:type="dxa" w:w="1500"/>
            <w:tcMar>
              <w:top w:type="dxa" w:w="60"/>
              <w:left w:type="dxa" w:w="80"/>
              <w:bottom w:type="dxa" w:w="60"/>
              <w:right w:type="dxa" w:w="80"/>
            </w:tcMar>
            <w:vAlign w:val="center"/>
          </w:tcPr>
          <w:p>
            <w:pPr>
              <w:jc w:val="left"/>
            </w:pPr>
            <w:r>
              <w:rPr>
                <w:b w:val="false"/>
                <w:bCs w:val="false"/>
                <w:color w:val="000000"/>
                <w:sz w:val="18"/>
                <w:szCs w:val="18"/>
              </w:rPr>
              <w:t xml:space="preserve">2,60,000</w:t>
            </w:r>
          </w:p>
        </w:tc>
        <w:tc>
          <w:tcPr>
            <w:tcW w:type="dxa" w:w="1400"/>
            <w:tcMar>
              <w:top w:type="dxa" w:w="60"/>
              <w:left w:type="dxa" w:w="80"/>
              <w:bottom w:type="dxa" w:w="60"/>
              <w:right w:type="dxa" w:w="80"/>
            </w:tcMar>
            <w:vAlign w:val="center"/>
          </w:tcPr>
          <w:p>
            <w:pPr>
              <w:jc w:val="left"/>
            </w:pPr>
            <w:r>
              <w:rPr>
                <w:b w:val="false"/>
                <w:bCs w:val="false"/>
                <w:color w:val="1E7B45"/>
                <w:sz w:val="18"/>
                <w:szCs w:val="18"/>
              </w:rPr>
              <w:t xml:space="preserve">+60,271</w:t>
            </w:r>
          </w:p>
        </w:tc>
        <w:tc>
          <w:tcPr>
            <w:tcW w:type="dxa" w:w="1100"/>
            <w:tcMar>
              <w:top w:type="dxa" w:w="60"/>
              <w:left w:type="dxa" w:w="80"/>
              <w:bottom w:type="dxa" w:w="60"/>
              <w:right w:type="dxa" w:w="80"/>
            </w:tcMar>
            <w:vAlign w:val="center"/>
          </w:tcPr>
          <w:p>
            <w:pPr>
              <w:jc w:val="left"/>
            </w:pPr>
            <w:r>
              <w:rPr>
                <w:b w:val="false"/>
                <w:bCs w:val="false"/>
                <w:color w:val="B8863B"/>
                <w:sz w:val="18"/>
                <w:szCs w:val="18"/>
              </w:rPr>
              <w:t xml:space="preserve">TEST-SCALE</w:t>
            </w:r>
          </w:p>
        </w:tc>
        <w:tc>
          <w:tcPr>
            <w:tcW w:type="dxa" w:w="3900"/>
            <w:tcMar>
              <w:top w:type="dxa" w:w="60"/>
              <w:left w:type="dxa" w:w="80"/>
              <w:bottom w:type="dxa" w:w="60"/>
              <w:right w:type="dxa" w:w="80"/>
            </w:tcMar>
            <w:vAlign w:val="center"/>
          </w:tcPr>
          <w:p>
            <w:pPr>
              <w:jc w:val="left"/>
            </w:pPr>
            <w:r>
              <w:rPr>
                <w:b w:val="false"/>
                <w:bCs w:val="false"/>
                <w:color w:val="000000"/>
                <w:sz w:val="18"/>
                <w:szCs w:val="18"/>
              </w:rPr>
              <w:t xml:space="preserve">2.15x ROAS on a small base — scale cautiously and confirm it holds at volume</w:t>
            </w:r>
          </w:p>
        </w:tc>
      </w:tr>
      <w:tr>
        <w:tc>
          <w:tcPr>
            <w:tcW w:type="dxa" w:w="3600"/>
            <w:shd w:fill="F2F2F2" w:val="clear"/>
            <w:tcMar>
              <w:top w:type="dxa" w:w="60"/>
              <w:left w:type="dxa" w:w="80"/>
              <w:bottom w:type="dxa" w:w="60"/>
              <w:right w:type="dxa" w:w="80"/>
            </w:tcMar>
            <w:vAlign w:val="center"/>
          </w:tcPr>
          <w:p>
            <w:pPr>
              <w:jc w:val="left"/>
            </w:pPr>
            <w:r>
              <w:rPr>
                <w:b w:val="false"/>
                <w:bCs w:val="false"/>
                <w:color w:val="000000"/>
                <w:sz w:val="18"/>
                <w:szCs w:val="18"/>
              </w:rPr>
              <w:t xml:space="preserve">Multi_Category|Ind|Direct (small)</w:t>
            </w:r>
          </w:p>
        </w:tc>
        <w:tc>
          <w:tcPr>
            <w:tcW w:type="dxa" w:w="1100"/>
            <w:shd w:fill="F2F2F2" w:val="clear"/>
            <w:tcMar>
              <w:top w:type="dxa" w:w="60"/>
              <w:left w:type="dxa" w:w="80"/>
              <w:bottom w:type="dxa" w:w="60"/>
              <w:right w:type="dxa" w:w="80"/>
            </w:tcMar>
            <w:vAlign w:val="center"/>
          </w:tcPr>
          <w:p>
            <w:pPr>
              <w:jc w:val="left"/>
            </w:pPr>
            <w:r>
              <w:rPr>
                <w:b w:val="false"/>
                <w:bCs w:val="false"/>
                <w:color w:val="000000"/>
                <w:sz w:val="18"/>
                <w:szCs w:val="18"/>
              </w:rPr>
              <w:t xml:space="preserve">Meta</w:t>
            </w:r>
          </w:p>
        </w:tc>
        <w:tc>
          <w:tcPr>
            <w:tcW w:type="dxa" w:w="1500"/>
            <w:shd w:fill="F2F2F2" w:val="clear"/>
            <w:tcMar>
              <w:top w:type="dxa" w:w="60"/>
              <w:left w:type="dxa" w:w="80"/>
              <w:bottom w:type="dxa" w:w="60"/>
              <w:right w:type="dxa" w:w="80"/>
            </w:tcMar>
            <w:vAlign w:val="center"/>
          </w:tcPr>
          <w:p>
            <w:pPr>
              <w:jc w:val="left"/>
            </w:pPr>
            <w:r>
              <w:rPr>
                <w:b w:val="false"/>
                <w:bCs w:val="false"/>
                <w:color w:val="000000"/>
                <w:sz w:val="18"/>
                <w:szCs w:val="18"/>
              </w:rPr>
              <w:t xml:space="preserve">58,388</w:t>
            </w:r>
          </w:p>
        </w:tc>
        <w:tc>
          <w:tcPr>
            <w:tcW w:type="dxa" w:w="1500"/>
            <w:shd w:fill="F2F2F2" w:val="clear"/>
            <w:tcMar>
              <w:top w:type="dxa" w:w="60"/>
              <w:left w:type="dxa" w:w="80"/>
              <w:bottom w:type="dxa" w:w="60"/>
              <w:right w:type="dxa" w:w="80"/>
            </w:tcMar>
            <w:vAlign w:val="center"/>
          </w:tcPr>
          <w:p>
            <w:pPr>
              <w:jc w:val="left"/>
            </w:pPr>
            <w:r>
              <w:rPr>
                <w:b w:val="false"/>
                <w:bCs w:val="false"/>
                <w:color w:val="000000"/>
                <w:sz w:val="18"/>
                <w:szCs w:val="18"/>
              </w:rPr>
              <w:t xml:space="preserve">1,00,000</w:t>
            </w:r>
          </w:p>
        </w:tc>
        <w:tc>
          <w:tcPr>
            <w:tcW w:type="dxa" w:w="1400"/>
            <w:shd w:fill="F2F2F2" w:val="clear"/>
            <w:tcMar>
              <w:top w:type="dxa" w:w="60"/>
              <w:left w:type="dxa" w:w="80"/>
              <w:bottom w:type="dxa" w:w="60"/>
              <w:right w:type="dxa" w:w="80"/>
            </w:tcMar>
            <w:vAlign w:val="center"/>
          </w:tcPr>
          <w:p>
            <w:pPr>
              <w:jc w:val="left"/>
            </w:pPr>
            <w:r>
              <w:rPr>
                <w:b w:val="false"/>
                <w:bCs w:val="false"/>
                <w:color w:val="1E7B45"/>
                <w:sz w:val="18"/>
                <w:szCs w:val="18"/>
              </w:rPr>
              <w:t xml:space="preserve">+41,612</w:t>
            </w:r>
          </w:p>
        </w:tc>
        <w:tc>
          <w:tcPr>
            <w:tcW w:type="dxa" w:w="1100"/>
            <w:shd w:fill="F2F2F2" w:val="clear"/>
            <w:tcMar>
              <w:top w:type="dxa" w:w="60"/>
              <w:left w:type="dxa" w:w="80"/>
              <w:bottom w:type="dxa" w:w="60"/>
              <w:right w:type="dxa" w:w="80"/>
            </w:tcMar>
            <w:vAlign w:val="center"/>
          </w:tcPr>
          <w:p>
            <w:pPr>
              <w:jc w:val="left"/>
            </w:pPr>
            <w:r>
              <w:rPr>
                <w:b w:val="false"/>
                <w:bCs w:val="false"/>
                <w:color w:val="1E7B45"/>
                <w:sz w:val="18"/>
                <w:szCs w:val="18"/>
              </w:rPr>
              <w:t xml:space="preserve">SCALE</w:t>
            </w:r>
          </w:p>
        </w:tc>
        <w:tc>
          <w:tcPr>
            <w:tcW w:type="dxa" w:w="3900"/>
            <w:shd w:fill="F2F2F2" w:val="clear"/>
            <w:tcMar>
              <w:top w:type="dxa" w:w="60"/>
              <w:left w:type="dxa" w:w="80"/>
              <w:bottom w:type="dxa" w:w="60"/>
              <w:right w:type="dxa" w:w="80"/>
            </w:tcMar>
            <w:vAlign w:val="center"/>
          </w:tcPr>
          <w:p>
            <w:pPr>
              <w:jc w:val="left"/>
            </w:pPr>
            <w:r>
              <w:rPr>
                <w:b w:val="false"/>
                <w:bCs w:val="false"/>
                <w:color w:val="000000"/>
                <w:sz w:val="18"/>
                <w:szCs w:val="18"/>
              </w:rPr>
              <w:t xml:space="preserve">2.23x ROAS — small but efficient, room to grow</w:t>
            </w:r>
          </w:p>
        </w:tc>
      </w:tr>
      <w:tr>
        <w:tc>
          <w:tcPr>
            <w:tcW w:type="dxa" w:w="3600"/>
            <w:tcMar>
              <w:top w:type="dxa" w:w="60"/>
              <w:left w:type="dxa" w:w="80"/>
              <w:bottom w:type="dxa" w:w="60"/>
              <w:right w:type="dxa" w:w="80"/>
            </w:tcMar>
            <w:vAlign w:val="center"/>
          </w:tcPr>
          <w:p>
            <w:pPr>
              <w:jc w:val="left"/>
            </w:pPr>
            <w:r>
              <w:rPr>
                <w:b w:val="false"/>
                <w:bCs w:val="false"/>
                <w:color w:val="000000"/>
                <w:sz w:val="18"/>
                <w:szCs w:val="18"/>
              </w:rPr>
              <w:t xml:space="preserve">TOF|Sales|United Kingdom|EOSS</w:t>
            </w:r>
          </w:p>
        </w:tc>
        <w:tc>
          <w:tcPr>
            <w:tcW w:type="dxa" w:w="1100"/>
            <w:tcMar>
              <w:top w:type="dxa" w:w="60"/>
              <w:left w:type="dxa" w:w="80"/>
              <w:bottom w:type="dxa" w:w="60"/>
              <w:right w:type="dxa" w:w="80"/>
            </w:tcMar>
            <w:vAlign w:val="center"/>
          </w:tcPr>
          <w:p>
            <w:pPr>
              <w:jc w:val="left"/>
            </w:pPr>
            <w:r>
              <w:rPr>
                <w:b w:val="false"/>
                <w:bCs w:val="false"/>
                <w:color w:val="000000"/>
                <w:sz w:val="18"/>
                <w:szCs w:val="18"/>
              </w:rPr>
              <w:t xml:space="preserve">Meta</w:t>
            </w:r>
          </w:p>
        </w:tc>
        <w:tc>
          <w:tcPr>
            <w:tcW w:type="dxa" w:w="1500"/>
            <w:tcMar>
              <w:top w:type="dxa" w:w="60"/>
              <w:left w:type="dxa" w:w="80"/>
              <w:bottom w:type="dxa" w:w="60"/>
              <w:right w:type="dxa" w:w="80"/>
            </w:tcMar>
            <w:vAlign w:val="center"/>
          </w:tcPr>
          <w:p>
            <w:pPr>
              <w:jc w:val="left"/>
            </w:pPr>
            <w:r>
              <w:rPr>
                <w:b w:val="false"/>
                <w:bCs w:val="false"/>
                <w:color w:val="000000"/>
                <w:sz w:val="18"/>
                <w:szCs w:val="18"/>
              </w:rPr>
              <w:t xml:space="preserve">52,558</w:t>
            </w:r>
          </w:p>
        </w:tc>
        <w:tc>
          <w:tcPr>
            <w:tcW w:type="dxa" w:w="1500"/>
            <w:tcMar>
              <w:top w:type="dxa" w:w="60"/>
              <w:left w:type="dxa" w:w="80"/>
              <w:bottom w:type="dxa" w:w="60"/>
              <w:right w:type="dxa" w:w="80"/>
            </w:tcMar>
            <w:vAlign w:val="center"/>
          </w:tcPr>
          <w:p>
            <w:pPr>
              <w:jc w:val="left"/>
            </w:pPr>
            <w:r>
              <w:rPr>
                <w:b w:val="false"/>
                <w:bCs w:val="false"/>
                <w:color w:val="000000"/>
                <w:sz w:val="18"/>
                <w:szCs w:val="18"/>
              </w:rPr>
              <w:t xml:space="preserve">15,000</w:t>
            </w:r>
          </w:p>
        </w:tc>
        <w:tc>
          <w:tcPr>
            <w:tcW w:type="dxa" w:w="1400"/>
            <w:tcMar>
              <w:top w:type="dxa" w:w="60"/>
              <w:left w:type="dxa" w:w="80"/>
              <w:bottom w:type="dxa" w:w="60"/>
              <w:right w:type="dxa" w:w="80"/>
            </w:tcMar>
            <w:vAlign w:val="center"/>
          </w:tcPr>
          <w:p>
            <w:pPr>
              <w:jc w:val="left"/>
            </w:pPr>
            <w:r>
              <w:rPr>
                <w:b w:val="false"/>
                <w:bCs w:val="false"/>
                <w:color w:val="C0392B"/>
                <w:sz w:val="18"/>
                <w:szCs w:val="18"/>
              </w:rPr>
              <w:t xml:space="preserve">–37,558</w:t>
            </w:r>
          </w:p>
        </w:tc>
        <w:tc>
          <w:tcPr>
            <w:tcW w:type="dxa" w:w="1100"/>
            <w:tcMar>
              <w:top w:type="dxa" w:w="60"/>
              <w:left w:type="dxa" w:w="80"/>
              <w:bottom w:type="dxa" w:w="60"/>
              <w:right w:type="dxa" w:w="80"/>
            </w:tcMar>
            <w:vAlign w:val="center"/>
          </w:tcPr>
          <w:p>
            <w:pPr>
              <w:jc w:val="left"/>
            </w:pPr>
            <w:r>
              <w:rPr>
                <w:b w:val="false"/>
                <w:bCs w:val="false"/>
                <w:color w:val="C0392B"/>
                <w:sz w:val="18"/>
                <w:szCs w:val="18"/>
              </w:rPr>
              <w:t xml:space="preserve">REDUCE</w:t>
            </w:r>
          </w:p>
        </w:tc>
        <w:tc>
          <w:tcPr>
            <w:tcW w:type="dxa" w:w="3900"/>
            <w:tcMar>
              <w:top w:type="dxa" w:w="60"/>
              <w:left w:type="dxa" w:w="80"/>
              <w:bottom w:type="dxa" w:w="60"/>
              <w:right w:type="dxa" w:w="80"/>
            </w:tcMar>
            <w:vAlign w:val="center"/>
          </w:tcPr>
          <w:p>
            <w:pPr>
              <w:jc w:val="left"/>
            </w:pPr>
            <w:r>
              <w:rPr>
                <w:b w:val="false"/>
                <w:bCs w:val="false"/>
                <w:color w:val="000000"/>
                <w:sz w:val="18"/>
                <w:szCs w:val="18"/>
              </w:rPr>
              <w:t xml:space="preserve">0.81x ROAS — below break-even, keep a minimal test presence only</w:t>
            </w:r>
          </w:p>
        </w:tc>
      </w:tr>
      <w:tr>
        <w:tc>
          <w:tcPr>
            <w:tcW w:type="dxa" w:w="3600"/>
            <w:shd w:fill="F2F2F2" w:val="clear"/>
            <w:tcMar>
              <w:top w:type="dxa" w:w="60"/>
              <w:left w:type="dxa" w:w="80"/>
              <w:bottom w:type="dxa" w:w="60"/>
              <w:right w:type="dxa" w:w="80"/>
            </w:tcMar>
            <w:vAlign w:val="center"/>
          </w:tcPr>
          <w:p>
            <w:pPr>
              <w:jc w:val="left"/>
            </w:pPr>
            <w:r>
              <w:rPr>
                <w:b w:val="false"/>
                <w:bCs w:val="false"/>
                <w:color w:val="000000"/>
                <w:sz w:val="18"/>
                <w:szCs w:val="18"/>
              </w:rPr>
              <w:t xml:space="preserve">Con|Multicategory|India|Direct</w:t>
            </w:r>
          </w:p>
        </w:tc>
        <w:tc>
          <w:tcPr>
            <w:tcW w:type="dxa" w:w="1100"/>
            <w:shd w:fill="F2F2F2" w:val="clear"/>
            <w:tcMar>
              <w:top w:type="dxa" w:w="60"/>
              <w:left w:type="dxa" w:w="80"/>
              <w:bottom w:type="dxa" w:w="60"/>
              <w:right w:type="dxa" w:w="80"/>
            </w:tcMar>
            <w:vAlign w:val="center"/>
          </w:tcPr>
          <w:p>
            <w:pPr>
              <w:jc w:val="left"/>
            </w:pPr>
            <w:r>
              <w:rPr>
                <w:b w:val="false"/>
                <w:bCs w:val="false"/>
                <w:color w:val="000000"/>
                <w:sz w:val="18"/>
                <w:szCs w:val="18"/>
              </w:rPr>
              <w:t xml:space="preserve">Meta</w:t>
            </w:r>
          </w:p>
        </w:tc>
        <w:tc>
          <w:tcPr>
            <w:tcW w:type="dxa" w:w="1500"/>
            <w:shd w:fill="F2F2F2" w:val="clear"/>
            <w:tcMar>
              <w:top w:type="dxa" w:w="60"/>
              <w:left w:type="dxa" w:w="80"/>
              <w:bottom w:type="dxa" w:w="60"/>
              <w:right w:type="dxa" w:w="80"/>
            </w:tcMar>
            <w:vAlign w:val="center"/>
          </w:tcPr>
          <w:p>
            <w:pPr>
              <w:jc w:val="left"/>
            </w:pPr>
            <w:r>
              <w:rPr>
                <w:b w:val="false"/>
                <w:bCs w:val="false"/>
                <w:color w:val="000000"/>
                <w:sz w:val="18"/>
                <w:szCs w:val="18"/>
              </w:rPr>
              <w:t xml:space="preserve">27,670</w:t>
            </w:r>
          </w:p>
        </w:tc>
        <w:tc>
          <w:tcPr>
            <w:tcW w:type="dxa" w:w="1500"/>
            <w:shd w:fill="F2F2F2" w:val="clear"/>
            <w:tcMar>
              <w:top w:type="dxa" w:w="60"/>
              <w:left w:type="dxa" w:w="80"/>
              <w:bottom w:type="dxa" w:w="60"/>
              <w:right w:type="dxa" w:w="80"/>
            </w:tcMar>
            <w:vAlign w:val="center"/>
          </w:tcPr>
          <w:p>
            <w:pPr>
              <w:jc w:val="left"/>
            </w:pPr>
            <w:r>
              <w:rPr>
                <w:b w:val="false"/>
                <w:bCs w:val="false"/>
                <w:color w:val="000000"/>
                <w:sz w:val="18"/>
                <w:szCs w:val="18"/>
              </w:rPr>
              <w:t xml:space="preserve">27,670</w:t>
            </w:r>
          </w:p>
        </w:tc>
        <w:tc>
          <w:tcPr>
            <w:tcW w:type="dxa" w:w="1400"/>
            <w:shd w:fill="F2F2F2" w:val="clear"/>
            <w:tcMar>
              <w:top w:type="dxa" w:w="60"/>
              <w:left w:type="dxa" w:w="80"/>
              <w:bottom w:type="dxa" w:w="60"/>
              <w:right w:type="dxa" w:w="80"/>
            </w:tcMar>
            <w:vAlign w:val="center"/>
          </w:tcPr>
          <w:p>
            <w:pPr>
              <w:jc w:val="left"/>
            </w:pPr>
            <w:r>
              <w:rPr>
                <w:b w:val="false"/>
                <w:bCs w:val="false"/>
                <w:color w:val="000000"/>
                <w:sz w:val="18"/>
                <w:szCs w:val="18"/>
              </w:rPr>
              <w:t xml:space="preserve">0</w:t>
            </w:r>
          </w:p>
        </w:tc>
        <w:tc>
          <w:tcPr>
            <w:tcW w:type="dxa" w:w="1100"/>
            <w:shd w:fill="F2F2F2" w:val="clear"/>
            <w:tcMar>
              <w:top w:type="dxa" w:w="60"/>
              <w:left w:type="dxa" w:w="80"/>
              <w:bottom w:type="dxa" w:w="60"/>
              <w:right w:type="dxa" w:w="80"/>
            </w:tcMar>
            <w:vAlign w:val="center"/>
          </w:tcPr>
          <w:p>
            <w:pPr>
              <w:jc w:val="left"/>
            </w:pPr>
            <w:r>
              <w:rPr>
                <w:b w:val="false"/>
                <w:bCs w:val="false"/>
                <w:color w:val="000000"/>
                <w:sz w:val="18"/>
                <w:szCs w:val="18"/>
              </w:rPr>
              <w:t xml:space="preserve">MAINTAIN</w:t>
            </w:r>
          </w:p>
        </w:tc>
        <w:tc>
          <w:tcPr>
            <w:tcW w:type="dxa" w:w="3900"/>
            <w:shd w:fill="F2F2F2" w:val="clear"/>
            <w:tcMar>
              <w:top w:type="dxa" w:w="60"/>
              <w:left w:type="dxa" w:w="80"/>
              <w:bottom w:type="dxa" w:w="60"/>
              <w:right w:type="dxa" w:w="80"/>
            </w:tcMar>
            <w:vAlign w:val="center"/>
          </w:tcPr>
          <w:p>
            <w:pPr>
              <w:jc w:val="left"/>
            </w:pPr>
            <w:r>
              <w:rPr>
                <w:b w:val="false"/>
                <w:bCs w:val="false"/>
                <w:color w:val="000000"/>
                <w:sz w:val="18"/>
                <w:szCs w:val="18"/>
              </w:rPr>
              <w:t xml:space="preserve">1.29x ROAS, small — unchanged</w:t>
            </w:r>
          </w:p>
        </w:tc>
      </w:tr>
      <w:tr>
        <w:tc>
          <w:tcPr>
            <w:tcW w:type="dxa" w:w="3600"/>
            <w:tcMar>
              <w:top w:type="dxa" w:w="60"/>
              <w:left w:type="dxa" w:w="80"/>
              <w:bottom w:type="dxa" w:w="60"/>
              <w:right w:type="dxa" w:w="80"/>
            </w:tcMar>
            <w:vAlign w:val="center"/>
          </w:tcPr>
          <w:p>
            <w:pPr>
              <w:jc w:val="left"/>
            </w:pPr>
            <w:r>
              <w:rPr>
                <w:b w:val="false"/>
                <w:bCs w:val="false"/>
                <w:color w:val="000000"/>
                <w:sz w:val="18"/>
                <w:szCs w:val="18"/>
              </w:rPr>
              <w:t xml:space="preserve">9 zero-return campaigns (combined)*</w:t>
            </w:r>
          </w:p>
        </w:tc>
        <w:tc>
          <w:tcPr>
            <w:tcW w:type="dxa" w:w="1100"/>
            <w:tcMar>
              <w:top w:type="dxa" w:w="60"/>
              <w:left w:type="dxa" w:w="80"/>
              <w:bottom w:type="dxa" w:w="60"/>
              <w:right w:type="dxa" w:w="80"/>
            </w:tcMar>
            <w:vAlign w:val="center"/>
          </w:tcPr>
          <w:p>
            <w:pPr>
              <w:jc w:val="left"/>
            </w:pPr>
            <w:r>
              <w:rPr>
                <w:b w:val="false"/>
                <w:bCs w:val="false"/>
                <w:color w:val="000000"/>
                <w:sz w:val="18"/>
                <w:szCs w:val="18"/>
              </w:rPr>
              <w:t xml:space="preserve">Meta</w:t>
            </w:r>
          </w:p>
        </w:tc>
        <w:tc>
          <w:tcPr>
            <w:tcW w:type="dxa" w:w="1500"/>
            <w:tcMar>
              <w:top w:type="dxa" w:w="60"/>
              <w:left w:type="dxa" w:w="80"/>
              <w:bottom w:type="dxa" w:w="60"/>
              <w:right w:type="dxa" w:w="80"/>
            </w:tcMar>
            <w:vAlign w:val="center"/>
          </w:tcPr>
          <w:p>
            <w:pPr>
              <w:jc w:val="left"/>
            </w:pPr>
            <w:r>
              <w:rPr>
                <w:b w:val="false"/>
                <w:bCs w:val="false"/>
                <w:color w:val="000000"/>
                <w:sz w:val="18"/>
                <w:szCs w:val="18"/>
              </w:rPr>
              <w:t xml:space="preserve">≈ 79,700</w:t>
            </w:r>
          </w:p>
        </w:tc>
        <w:tc>
          <w:tcPr>
            <w:tcW w:type="dxa" w:w="1500"/>
            <w:tcMar>
              <w:top w:type="dxa" w:w="60"/>
              <w:left w:type="dxa" w:w="80"/>
              <w:bottom w:type="dxa" w:w="60"/>
              <w:right w:type="dxa" w:w="80"/>
            </w:tcMar>
            <w:vAlign w:val="center"/>
          </w:tcPr>
          <w:p>
            <w:pPr>
              <w:jc w:val="left"/>
            </w:pPr>
            <w:r>
              <w:rPr>
                <w:b w:val="false"/>
                <w:bCs w:val="false"/>
                <w:color w:val="000000"/>
                <w:sz w:val="18"/>
                <w:szCs w:val="18"/>
              </w:rPr>
              <w:t xml:space="preserve">0</w:t>
            </w:r>
          </w:p>
        </w:tc>
        <w:tc>
          <w:tcPr>
            <w:tcW w:type="dxa" w:w="1400"/>
            <w:tcMar>
              <w:top w:type="dxa" w:w="60"/>
              <w:left w:type="dxa" w:w="80"/>
              <w:bottom w:type="dxa" w:w="60"/>
              <w:right w:type="dxa" w:w="80"/>
            </w:tcMar>
            <w:vAlign w:val="center"/>
          </w:tcPr>
          <w:p>
            <w:pPr>
              <w:jc w:val="left"/>
            </w:pPr>
            <w:r>
              <w:rPr>
                <w:b/>
                <w:bCs/>
                <w:color w:val="B03A2E"/>
                <w:sz w:val="18"/>
                <w:szCs w:val="18"/>
              </w:rPr>
              <w:t xml:space="preserve">–79,700</w:t>
            </w:r>
          </w:p>
        </w:tc>
        <w:tc>
          <w:tcPr>
            <w:tcW w:type="dxa" w:w="1100"/>
            <w:tcMar>
              <w:top w:type="dxa" w:w="60"/>
              <w:left w:type="dxa" w:w="80"/>
              <w:bottom w:type="dxa" w:w="60"/>
              <w:right w:type="dxa" w:w="80"/>
            </w:tcMar>
            <w:vAlign w:val="center"/>
          </w:tcPr>
          <w:p>
            <w:pPr>
              <w:jc w:val="left"/>
            </w:pPr>
            <w:r>
              <w:rPr>
                <w:b/>
                <w:bCs/>
                <w:color w:val="B03A2E"/>
                <w:sz w:val="18"/>
                <w:szCs w:val="18"/>
              </w:rPr>
              <w:t xml:space="preserve">KILL</w:t>
            </w:r>
          </w:p>
        </w:tc>
        <w:tc>
          <w:tcPr>
            <w:tcW w:type="dxa" w:w="3900"/>
            <w:tcMar>
              <w:top w:type="dxa" w:w="60"/>
              <w:left w:type="dxa" w:w="80"/>
              <w:bottom w:type="dxa" w:w="60"/>
              <w:right w:type="dxa" w:w="80"/>
            </w:tcMar>
            <w:vAlign w:val="center"/>
          </w:tcPr>
          <w:p>
            <w:pPr>
              <w:jc w:val="left"/>
            </w:pPr>
            <w:r>
              <w:rPr>
                <w:b w:val="false"/>
                <w:bCs w:val="false"/>
                <w:color w:val="000000"/>
                <w:sz w:val="18"/>
                <w:szCs w:val="18"/>
              </w:rPr>
              <w:t xml:space="preserve">0 conversions each; several run Engagement/Traffic/Awareness objectives against a sales goal</w:t>
            </w:r>
          </w:p>
        </w:tc>
      </w:tr>
      <w:tr>
        <w:tc>
          <w:tcPr>
            <w:tcW w:type="dxa" w:w="3600"/>
            <w:shd w:fill="F2F2F2" w:val="clear"/>
            <w:tcMar>
              <w:top w:type="dxa" w:w="60"/>
              <w:left w:type="dxa" w:w="80"/>
              <w:bottom w:type="dxa" w:w="60"/>
              <w:right w:type="dxa" w:w="80"/>
            </w:tcMar>
            <w:vAlign w:val="center"/>
          </w:tcPr>
          <w:p>
            <w:pPr>
              <w:jc w:val="left"/>
            </w:pPr>
            <w:r>
              <w:rPr>
                <w:b w:val="false"/>
                <w:bCs w:val="false"/>
                <w:color w:val="000000"/>
                <w:sz w:val="18"/>
                <w:szCs w:val="18"/>
              </w:rPr>
              <w:t xml:space="preserve">3rd Feb|Sale|ABO|Targeting</w:t>
            </w:r>
          </w:p>
        </w:tc>
        <w:tc>
          <w:tcPr>
            <w:tcW w:type="dxa" w:w="1100"/>
            <w:shd w:fill="F2F2F2" w:val="clear"/>
            <w:tcMar>
              <w:top w:type="dxa" w:w="60"/>
              <w:left w:type="dxa" w:w="80"/>
              <w:bottom w:type="dxa" w:w="60"/>
              <w:right w:type="dxa" w:w="80"/>
            </w:tcMar>
            <w:vAlign w:val="center"/>
          </w:tcPr>
          <w:p>
            <w:pPr>
              <w:jc w:val="left"/>
            </w:pPr>
            <w:r>
              <w:rPr>
                <w:b w:val="false"/>
                <w:bCs w:val="false"/>
                <w:color w:val="000000"/>
                <w:sz w:val="18"/>
                <w:szCs w:val="18"/>
              </w:rPr>
              <w:t xml:space="preserve">Meta</w:t>
            </w:r>
          </w:p>
        </w:tc>
        <w:tc>
          <w:tcPr>
            <w:tcW w:type="dxa" w:w="1500"/>
            <w:shd w:fill="F2F2F2" w:val="clear"/>
            <w:tcMar>
              <w:top w:type="dxa" w:w="60"/>
              <w:left w:type="dxa" w:w="80"/>
              <w:bottom w:type="dxa" w:w="60"/>
              <w:right w:type="dxa" w:w="80"/>
            </w:tcMar>
            <w:vAlign w:val="center"/>
          </w:tcPr>
          <w:p>
            <w:pPr>
              <w:jc w:val="left"/>
            </w:pPr>
            <w:r>
              <w:rPr>
                <w:b w:val="false"/>
                <w:bCs w:val="false"/>
                <w:color w:val="000000"/>
                <w:sz w:val="18"/>
                <w:szCs w:val="18"/>
              </w:rPr>
              <w:t xml:space="preserve">808</w:t>
            </w:r>
          </w:p>
        </w:tc>
        <w:tc>
          <w:tcPr>
            <w:tcW w:type="dxa" w:w="1500"/>
            <w:shd w:fill="F2F2F2" w:val="clear"/>
            <w:tcMar>
              <w:top w:type="dxa" w:w="60"/>
              <w:left w:type="dxa" w:w="80"/>
              <w:bottom w:type="dxa" w:w="60"/>
              <w:right w:type="dxa" w:w="80"/>
            </w:tcMar>
            <w:vAlign w:val="center"/>
          </w:tcPr>
          <w:p>
            <w:pPr>
              <w:jc w:val="left"/>
            </w:pPr>
            <w:r>
              <w:rPr>
                <w:b w:val="false"/>
                <w:bCs w:val="false"/>
                <w:color w:val="000000"/>
                <w:sz w:val="18"/>
                <w:szCs w:val="18"/>
              </w:rPr>
              <w:t xml:space="preserve">15,000</w:t>
            </w:r>
          </w:p>
        </w:tc>
        <w:tc>
          <w:tcPr>
            <w:tcW w:type="dxa" w:w="1400"/>
            <w:shd w:fill="F2F2F2" w:val="clear"/>
            <w:tcMar>
              <w:top w:type="dxa" w:w="60"/>
              <w:left w:type="dxa" w:w="80"/>
              <w:bottom w:type="dxa" w:w="60"/>
              <w:right w:type="dxa" w:w="80"/>
            </w:tcMar>
            <w:vAlign w:val="center"/>
          </w:tcPr>
          <w:p>
            <w:pPr>
              <w:jc w:val="left"/>
            </w:pPr>
            <w:r>
              <w:rPr>
                <w:b w:val="false"/>
                <w:bCs w:val="false"/>
                <w:color w:val="B8863B"/>
                <w:sz w:val="18"/>
                <w:szCs w:val="18"/>
              </w:rPr>
              <w:t xml:space="preserve">+14,192</w:t>
            </w:r>
          </w:p>
        </w:tc>
        <w:tc>
          <w:tcPr>
            <w:tcW w:type="dxa" w:w="1100"/>
            <w:shd w:fill="F2F2F2" w:val="clear"/>
            <w:tcMar>
              <w:top w:type="dxa" w:w="60"/>
              <w:left w:type="dxa" w:w="80"/>
              <w:bottom w:type="dxa" w:w="60"/>
              <w:right w:type="dxa" w:w="80"/>
            </w:tcMar>
            <w:vAlign w:val="center"/>
          </w:tcPr>
          <w:p>
            <w:pPr>
              <w:jc w:val="left"/>
            </w:pPr>
            <w:r>
              <w:rPr>
                <w:b w:val="false"/>
                <w:bCs w:val="false"/>
                <w:color w:val="B8863B"/>
                <w:sz w:val="18"/>
                <w:szCs w:val="18"/>
              </w:rPr>
              <w:t xml:space="preserve">TEST</w:t>
            </w:r>
          </w:p>
        </w:tc>
        <w:tc>
          <w:tcPr>
            <w:tcW w:type="dxa" w:w="3900"/>
            <w:shd w:fill="F2F2F2" w:val="clear"/>
            <w:tcMar>
              <w:top w:type="dxa" w:w="60"/>
              <w:left w:type="dxa" w:w="80"/>
              <w:bottom w:type="dxa" w:w="60"/>
              <w:right w:type="dxa" w:w="80"/>
            </w:tcMar>
            <w:vAlign w:val="center"/>
          </w:tcPr>
          <w:p>
            <w:pPr>
              <w:jc w:val="left"/>
            </w:pPr>
            <w:r>
              <w:rPr>
                <w:b w:val="false"/>
                <w:bCs w:val="false"/>
                <w:color w:val="000000"/>
                <w:sz w:val="18"/>
                <w:szCs w:val="18"/>
              </w:rPr>
              <w:t xml:space="preserve">41.6x ROAS but only 1 purchase recorded — too small a sample to trust; fund a proper test before scaling</w:t>
            </w:r>
          </w:p>
        </w:tc>
      </w:tr>
      <w:tr>
        <w:tc>
          <w:tcPr>
            <w:tcW w:type="dxa" w:w="3600"/>
            <w:tcMar>
              <w:top w:type="dxa" w:w="60"/>
              <w:left w:type="dxa" w:w="80"/>
              <w:bottom w:type="dxa" w:w="60"/>
              <w:right w:type="dxa" w:w="80"/>
            </w:tcMar>
            <w:vAlign w:val="center"/>
          </w:tcPr>
          <w:p>
            <w:pPr>
              <w:jc w:val="left"/>
            </w:pPr>
            <w:r>
              <w:rPr>
                <w:b w:val="false"/>
                <w:bCs w:val="false"/>
                <w:color w:val="000000"/>
                <w:sz w:val="18"/>
                <w:szCs w:val="18"/>
              </w:rPr>
              <w:t xml:space="preserve">New — Retention / win-back remarketing (India + US)</w:t>
            </w:r>
          </w:p>
        </w:tc>
        <w:tc>
          <w:tcPr>
            <w:tcW w:type="dxa" w:w="1100"/>
            <w:tcMar>
              <w:top w:type="dxa" w:w="60"/>
              <w:left w:type="dxa" w:w="80"/>
              <w:bottom w:type="dxa" w:w="60"/>
              <w:right w:type="dxa" w:w="80"/>
            </w:tcMar>
            <w:vAlign w:val="center"/>
          </w:tcPr>
          <w:p>
            <w:pPr>
              <w:jc w:val="left"/>
            </w:pPr>
            <w:r>
              <w:rPr>
                <w:b w:val="false"/>
                <w:bCs w:val="false"/>
                <w:color w:val="000000"/>
                <w:sz w:val="18"/>
                <w:szCs w:val="18"/>
              </w:rPr>
              <w:t xml:space="preserve">Meta</w:t>
            </w:r>
          </w:p>
        </w:tc>
        <w:tc>
          <w:tcPr>
            <w:tcW w:type="dxa" w:w="1500"/>
            <w:tcMar>
              <w:top w:type="dxa" w:w="60"/>
              <w:left w:type="dxa" w:w="80"/>
              <w:bottom w:type="dxa" w:w="60"/>
              <w:right w:type="dxa" w:w="80"/>
            </w:tcMar>
            <w:vAlign w:val="center"/>
          </w:tcPr>
          <w:p>
            <w:pPr>
              <w:jc w:val="left"/>
            </w:pPr>
            <w:r>
              <w:rPr>
                <w:b w:val="false"/>
                <w:bCs w:val="false"/>
                <w:color w:val="000000"/>
                <w:sz w:val="18"/>
                <w:szCs w:val="18"/>
              </w:rPr>
              <w:t xml:space="preserve">0</w:t>
            </w:r>
          </w:p>
        </w:tc>
        <w:tc>
          <w:tcPr>
            <w:tcW w:type="dxa" w:w="1500"/>
            <w:tcMar>
              <w:top w:type="dxa" w:w="60"/>
              <w:left w:type="dxa" w:w="80"/>
              <w:bottom w:type="dxa" w:w="60"/>
              <w:right w:type="dxa" w:w="80"/>
            </w:tcMar>
            <w:vAlign w:val="center"/>
          </w:tcPr>
          <w:p>
            <w:pPr>
              <w:jc w:val="left"/>
            </w:pPr>
            <w:r>
              <w:rPr>
                <w:b w:val="false"/>
                <w:bCs w:val="false"/>
                <w:color w:val="000000"/>
                <w:sz w:val="18"/>
                <w:szCs w:val="18"/>
              </w:rPr>
              <w:t xml:space="preserve">2,67,736</w:t>
            </w:r>
          </w:p>
        </w:tc>
        <w:tc>
          <w:tcPr>
            <w:tcW w:type="dxa" w:w="1400"/>
            <w:tcMar>
              <w:top w:type="dxa" w:w="60"/>
              <w:left w:type="dxa" w:w="80"/>
              <w:bottom w:type="dxa" w:w="60"/>
              <w:right w:type="dxa" w:w="80"/>
            </w:tcMar>
            <w:vAlign w:val="center"/>
          </w:tcPr>
          <w:p>
            <w:pPr>
              <w:jc w:val="left"/>
            </w:pPr>
            <w:r>
              <w:rPr>
                <w:b/>
                <w:bCs/>
                <w:color w:val="B8863B"/>
                <w:sz w:val="18"/>
                <w:szCs w:val="18"/>
              </w:rPr>
              <w:t xml:space="preserve">+2,67,736</w:t>
            </w:r>
          </w:p>
        </w:tc>
        <w:tc>
          <w:tcPr>
            <w:tcW w:type="dxa" w:w="1100"/>
            <w:tcMar>
              <w:top w:type="dxa" w:w="60"/>
              <w:left w:type="dxa" w:w="80"/>
              <w:bottom w:type="dxa" w:w="60"/>
              <w:right w:type="dxa" w:w="80"/>
            </w:tcMar>
            <w:vAlign w:val="center"/>
          </w:tcPr>
          <w:p>
            <w:pPr>
              <w:jc w:val="left"/>
            </w:pPr>
            <w:r>
              <w:rPr>
                <w:b/>
                <w:bCs/>
                <w:color w:val="B8863B"/>
                <w:sz w:val="18"/>
                <w:szCs w:val="18"/>
              </w:rPr>
              <w:t xml:space="preserve">NEW</w:t>
            </w:r>
          </w:p>
        </w:tc>
        <w:tc>
          <w:tcPr>
            <w:tcW w:type="dxa" w:w="3900"/>
            <w:tcMar>
              <w:top w:type="dxa" w:w="60"/>
              <w:left w:type="dxa" w:w="80"/>
              <w:bottom w:type="dxa" w:w="60"/>
              <w:right w:type="dxa" w:w="80"/>
            </w:tcMar>
            <w:vAlign w:val="center"/>
          </w:tcPr>
          <w:p>
            <w:pPr>
              <w:jc w:val="left"/>
            </w:pPr>
            <w:r>
              <w:rPr>
                <w:b w:val="false"/>
                <w:bCs w:val="false"/>
                <w:color w:val="000000"/>
                <w:sz w:val="18"/>
                <w:szCs w:val="18"/>
              </w:rPr>
              <w:t xml:space="preserve">Only 21% of orders are from returning customers; no dedicated retention spend exists today — cheapest incremental sales available</w:t>
            </w:r>
          </w:p>
        </w:tc>
      </w:tr>
      <w:tr>
        <w:tc>
          <w:tcPr>
            <w:tcW w:type="dxa" w:w="3600"/>
            <w:shd w:fill="F2F2F2" w:val="clear"/>
            <w:tcMar>
              <w:top w:type="dxa" w:w="60"/>
              <w:left w:type="dxa" w:w="80"/>
              <w:bottom w:type="dxa" w:w="60"/>
              <w:right w:type="dxa" w:w="80"/>
            </w:tcMar>
            <w:vAlign w:val="center"/>
          </w:tcPr>
          <w:p>
            <w:pPr>
              <w:jc w:val="left"/>
            </w:pPr>
            <w:r>
              <w:rPr>
                <w:b/>
                <w:bCs/>
                <w:color w:val="000000"/>
                <w:sz w:val="18"/>
                <w:szCs w:val="18"/>
              </w:rPr>
              <w:t xml:space="preserve">TOTAL</w:t>
            </w:r>
          </w:p>
        </w:tc>
        <w:tc>
          <w:tcPr>
            <w:tcW w:type="dxa" w:w="1100"/>
            <w:shd w:fill="F2F2F2" w:val="clear"/>
            <w:tcMar>
              <w:top w:type="dxa" w:w="60"/>
              <w:left w:type="dxa" w:w="80"/>
              <w:bottom w:type="dxa" w:w="60"/>
              <w:right w:type="dxa" w:w="80"/>
            </w:tcMar>
            <w:vAlign w:val="center"/>
          </w:tcPr>
          <w:p>
            <w:pPr>
              <w:jc w:val="left"/>
            </w:pPr>
            <w:r>
              <w:rPr>
                <w:b w:val="false"/>
                <w:bCs w:val="false"/>
                <w:color w:val="000000"/>
                <w:sz w:val="18"/>
                <w:szCs w:val="18"/>
              </w:rPr>
              <w:t xml:space="preserve"/>
            </w:r>
          </w:p>
        </w:tc>
        <w:tc>
          <w:tcPr>
            <w:tcW w:type="dxa" w:w="1500"/>
            <w:shd w:fill="F2F2F2" w:val="clear"/>
            <w:tcMar>
              <w:top w:type="dxa" w:w="60"/>
              <w:left w:type="dxa" w:w="80"/>
              <w:bottom w:type="dxa" w:w="60"/>
              <w:right w:type="dxa" w:w="80"/>
            </w:tcMar>
            <w:vAlign w:val="center"/>
          </w:tcPr>
          <w:p>
            <w:pPr>
              <w:jc w:val="left"/>
            </w:pPr>
            <w:r>
              <w:rPr>
                <w:b/>
                <w:bCs/>
                <w:color w:val="000000"/>
                <w:sz w:val="18"/>
                <w:szCs w:val="18"/>
              </w:rPr>
              <w:t xml:space="preserve">62,80,407</w:t>
            </w:r>
          </w:p>
        </w:tc>
        <w:tc>
          <w:tcPr>
            <w:tcW w:type="dxa" w:w="1500"/>
            <w:shd w:fill="F2F2F2" w:val="clear"/>
            <w:tcMar>
              <w:top w:type="dxa" w:w="60"/>
              <w:left w:type="dxa" w:w="80"/>
              <w:bottom w:type="dxa" w:w="60"/>
              <w:right w:type="dxa" w:w="80"/>
            </w:tcMar>
            <w:vAlign w:val="center"/>
          </w:tcPr>
          <w:p>
            <w:pPr>
              <w:jc w:val="left"/>
            </w:pPr>
            <w:r>
              <w:rPr>
                <w:b/>
                <w:bCs/>
                <w:color w:val="000000"/>
                <w:sz w:val="18"/>
                <w:szCs w:val="18"/>
              </w:rPr>
              <w:t xml:space="preserve">≈ 62,80,406</w:t>
            </w:r>
          </w:p>
        </w:tc>
        <w:tc>
          <w:tcPr>
            <w:tcW w:type="dxa" w:w="1400"/>
            <w:shd w:fill="F2F2F2" w:val="clear"/>
            <w:tcMar>
              <w:top w:type="dxa" w:w="60"/>
              <w:left w:type="dxa" w:w="80"/>
              <w:bottom w:type="dxa" w:w="60"/>
              <w:right w:type="dxa" w:w="80"/>
            </w:tcMar>
            <w:vAlign w:val="center"/>
          </w:tcPr>
          <w:p>
            <w:pPr>
              <w:jc w:val="left"/>
            </w:pPr>
            <w:r>
              <w:rPr>
                <w:b/>
                <w:bCs/>
                <w:color w:val="000000"/>
                <w:sz w:val="18"/>
                <w:szCs w:val="18"/>
              </w:rPr>
              <w:t xml:space="preserve">≈ 0</w:t>
            </w:r>
          </w:p>
        </w:tc>
        <w:tc>
          <w:tcPr>
            <w:tcW w:type="dxa" w:w="1100"/>
            <w:shd w:fill="F2F2F2" w:val="clear"/>
            <w:tcMar>
              <w:top w:type="dxa" w:w="60"/>
              <w:left w:type="dxa" w:w="80"/>
              <w:bottom w:type="dxa" w:w="60"/>
              <w:right w:type="dxa" w:w="80"/>
            </w:tcMar>
            <w:vAlign w:val="center"/>
          </w:tcPr>
          <w:p>
            <w:pPr>
              <w:jc w:val="left"/>
            </w:pPr>
            <w:r>
              <w:rPr>
                <w:b w:val="false"/>
                <w:bCs w:val="false"/>
                <w:color w:val="000000"/>
                <w:sz w:val="18"/>
                <w:szCs w:val="18"/>
              </w:rPr>
              <w:t xml:space="preserve"/>
            </w:r>
          </w:p>
        </w:tc>
        <w:tc>
          <w:tcPr>
            <w:tcW w:type="dxa" w:w="3900"/>
            <w:shd w:fill="F2F2F2" w:val="clear"/>
            <w:tcMar>
              <w:top w:type="dxa" w:w="60"/>
              <w:left w:type="dxa" w:w="80"/>
              <w:bottom w:type="dxa" w:w="60"/>
              <w:right w:type="dxa" w:w="80"/>
            </w:tcMar>
            <w:vAlign w:val="center"/>
          </w:tcPr>
          <w:p>
            <w:pPr>
              <w:jc w:val="left"/>
            </w:pPr>
            <w:r>
              <w:rPr>
                <w:b w:val="false"/>
                <w:bCs w:val="false"/>
                <w:color w:val="000000"/>
                <w:sz w:val="18"/>
                <w:szCs w:val="18"/>
              </w:rPr>
              <w:t xml:space="preserve"/>
            </w:r>
          </w:p>
        </w:tc>
      </w:tr>
    </w:tbl>
    <w:p>
      <w:pPr>
        <w:spacing w:after="150"/>
      </w:pPr>
      <w:r>
        <w:rPr>
          <w:i/>
          <w:iCs/>
          <w:color w:val="6B6B6B"/>
          <w:sz w:val="17"/>
          <w:szCs w:val="17"/>
        </w:rPr>
        <w:t xml:space="preserve">*The 9 zero-return campaigns: TOF|Sale|INDIA, Engagement|India, Multicategory|India|Direct|CBO, TOF|Traffic|India, TOF|Sales|India+INTL|Pre-Buzz, TOF|Sales|India (small), MOF|Sale|India, TOF|Traffic|India+INTL|Pre-Buzz, TOF|Awareness|India+INTL|Pre-Buzz, Tof|Traffic|Canada+US.</w:t>
      </w:r>
    </w:p>
    <w:p>
      <w:pPr>
        <w:sectPr>
          <w:headerReference w:type="default" r:id="rId13"/>
          <w:footerReference w:type="default" r:id="rId14"/>
          <w:pgSz w:w="15840" w:h="12240" w:orient="portrait"/>
          <w:pgMar w:top="600" w:right="600" w:bottom="600" w:left="600" w:header="708" w:footer="708" w:gutter="0"/>
          <w:pgNumType/>
          <w:docGrid w:linePitch="360"/>
        </w:sectPr>
      </w:pPr>
    </w:p>
    <w:p>
      <w:pPr>
        <w:pStyle w:val="Heading1"/>
        <w:spacing w:after="200" w:before="400"/>
      </w:pPr>
      <w:r>
        <w:t xml:space="preserve">4. Why Is the Brand Not Scaling? — Top 3 Reasons</w:t>
      </w:r>
    </w:p>
    <w:p>
      <w:pPr>
        <w:pStyle w:val="Heading2"/>
        <w:spacing w:after="150" w:before="300"/>
      </w:pPr>
      <w:r>
        <w:t xml:space="preserve">Reason 1: The two largest campaigns are audience-saturated, and they're 46% of the budget</w:t>
      </w:r>
    </w:p>
    <w:p>
      <w:pPr>
        <w:spacing w:after="80"/>
      </w:pPr>
      <w:r>
        <w:rPr>
          <w:b/>
          <w:bCs/>
        </w:rPr>
        <w:t xml:space="preserve">Problem: </w:t>
      </w:r>
      <w:r>
        <w:t xml:space="preserve">Nearly half of all spend sits in two Meta campaigns whose efficiency is actively collapsing as they scale, not plateauing.</w:t>
      </w:r>
    </w:p>
    <w:p>
      <w:pPr>
        <w:spacing w:after="80"/>
      </w:pPr>
      <w:r>
        <w:rPr>
          <w:b/>
          <w:bCs/>
        </w:rPr>
        <w:t xml:space="preserve">Evidence (proven): </w:t>
      </w:r>
      <w:r>
        <w:t xml:space="preserve">“Conv|Multi Category|Ind|Direct”: ROAS 6.99x (May, ₹15K spend) → 2.13x (Jun, ₹3.03L) → 1.75x (Jul, ₹4.28L) → 1.43x (Aug, ₹5.27L). “MOF&amp;BOF|Sale|India+intl”: ROAS 3.07x (May) → 2.79x (Jun) → 2.00x (Jul) → 1.19x (Aug) — and it kept falling even as spend was cut in August, ruling out spend level alone as the cause.</w:t>
      </w:r>
    </w:p>
    <w:p>
      <w:pPr>
        <w:spacing w:after="80"/>
      </w:pPr>
      <w:r>
        <w:rPr>
          <w:b/>
          <w:bCs/>
        </w:rPr>
        <w:t xml:space="preserve">Possible cause (hypothesis): </w:t>
      </w:r>
      <w:r>
        <w:t xml:space="preserve">Most likely a combination of audience exhaustion (the same core India lookalike/persona audiences are being hit repeatedly, per the “India|Lal|Cd 1%” and “India|Persona” ad set names) and creative fatigue (the same 3–4 catalog carousel concepts are carrying most of the spend). Distinguishing which factor dominates would need frequency data, which isn't in this export.</w:t>
      </w:r>
    </w:p>
    <w:p>
      <w:pPr>
        <w:spacing w:after="80"/>
      </w:pPr>
      <w:r>
        <w:rPr>
          <w:b/>
          <w:bCs/>
        </w:rPr>
        <w:t xml:space="preserve">Action: </w:t>
      </w:r>
      <w:r>
        <w:t xml:space="preserve">Cap spend on these two campaigns at the reduced levels in Section 3, introduce 2–3 net-new creative concepts before any further scaling, and expand to fresh audience segments rather than pushing more budget into the same ones.</w:t>
      </w:r>
    </w:p>
    <w:p>
      <w:pPr>
        <w:pStyle w:val="Heading2"/>
        <w:spacing w:after="150" w:before="300"/>
      </w:pPr>
      <w:r>
        <w:t xml:space="preserve">Reason 2: Meaningful spend is going to non-sales objectives and zero-return campaigns</w:t>
      </w:r>
    </w:p>
    <w:p>
      <w:pPr>
        <w:spacing w:after="80"/>
      </w:pPr>
      <w:r>
        <w:rPr>
          <w:b/>
          <w:bCs/>
        </w:rPr>
        <w:t xml:space="preserve">Problem: </w:t>
      </w:r>
      <w:r>
        <w:t xml:space="preserve">₹1.42L across 12 campaigns/ad groups is either mis-targeted at Engagement, Traffic, or Awareness objectives (wrong goal for a sales target) or has recorded zero conversions despite live spend.</w:t>
      </w:r>
    </w:p>
    <w:p>
      <w:pPr>
        <w:spacing w:after="80"/>
      </w:pPr>
      <w:r>
        <w:rPr>
          <w:b/>
          <w:bCs/>
        </w:rPr>
        <w:t xml:space="preserve">Evidence (proven): </w:t>
      </w:r>
      <w:r>
        <w:t xml:space="preserve">Google: ₹61,697 across 3 campaigns with 0.00–0.05x ROAS. Meta: ₹80,711 across 9 campaigns/ad sets with 0.00–0.20x ROAS, including campaigns explicitly named “Engagement,” “Traffic,” and “Awareness” — objectives that don't optimise for purchases in the first place.</w:t>
      </w:r>
    </w:p>
    <w:p>
      <w:pPr>
        <w:spacing w:after="80"/>
      </w:pPr>
      <w:r>
        <w:rPr>
          <w:b/>
          <w:bCs/>
        </w:rPr>
        <w:t xml:space="preserve">Possible cause (hypothesis): </w:t>
      </w:r>
      <w:r>
        <w:t xml:space="preserve">Likely a mix of legacy campaigns left running past their original purpose (EOSS/seasonal campaigns not paused after the sale ended) and objective/goal misalignment when campaigns were originally set up for a different KPI than “sales.”</w:t>
      </w:r>
    </w:p>
    <w:p>
      <w:pPr>
        <w:spacing w:after="80"/>
      </w:pPr>
      <w:r>
        <w:rPr>
          <w:b/>
          <w:bCs/>
        </w:rPr>
        <w:t xml:space="preserve">Action: </w:t>
      </w:r>
      <w:r>
        <w:t xml:space="preserve">Pause all 12 immediately (Section 3); if Engagement/Awareness serve a genuine upper-funnel purpose, re-fund them from a separate brand-awareness budget line, not the sales-growth budget.</w:t>
      </w:r>
    </w:p>
    <w:p>
      <w:pPr>
        <w:pStyle w:val="Heading2"/>
        <w:spacing w:after="150" w:before="300"/>
      </w:pPr>
      <w:r>
        <w:t xml:space="preserve">Reason 3: No retention motion, despite 79% of orders requiring fresh paid acquisition</w:t>
      </w:r>
    </w:p>
    <w:p>
      <w:pPr>
        <w:spacing w:after="80"/>
      </w:pPr>
      <w:r>
        <w:rPr>
          <w:b/>
          <w:bCs/>
        </w:rPr>
        <w:t xml:space="preserve">Problem: </w:t>
      </w:r>
      <w:r>
        <w:t xml:space="preserve">Returning customers are only 21% of orders (335 of 1,579), and there is no dedicated remarketing/win-back spend line in either ad account targeting past purchasers.</w:t>
      </w:r>
    </w:p>
    <w:p>
      <w:pPr>
        <w:spacing w:after="80"/>
      </w:pPr>
      <w:r>
        <w:rPr>
          <w:b/>
          <w:bCs/>
        </w:rPr>
        <w:t xml:space="preserve">Evidence (proven): </w:t>
      </w:r>
      <w:r>
        <w:t xml:space="preserve">New Customer Orders = 1,244 vs. Returning Customer Orders = 335 in the Shopify export. Ad-set names across both platforms show prospecting, lookalike, and broad-interest targeting; no ad set is explicitly structured around a customer-list/CRM audience of past purchasers.</w:t>
      </w:r>
    </w:p>
    <w:p>
      <w:pPr>
        <w:spacing w:after="80"/>
      </w:pPr>
      <w:r>
        <w:rPr>
          <w:b/>
          <w:bCs/>
        </w:rPr>
        <w:t xml:space="preserve">Possible cause (hypothesis): </w:t>
      </w:r>
      <w:r>
        <w:t xml:space="preserve">The account has been built acquisition-first (understandable in a growth phase), and a CRM/retention motion simply hasn't been built out yet — this is a gap, not evidence of something broken.</w:t>
      </w:r>
    </w:p>
    <w:p>
      <w:pPr>
        <w:spacing w:after="80"/>
      </w:pPr>
      <w:r>
        <w:rPr>
          <w:b/>
          <w:bCs/>
        </w:rPr>
        <w:t xml:space="preserve">Action: </w:t>
      </w:r>
      <w:r>
        <w:t xml:space="preserve">Stand up a dedicated retention campaign (Section 3's new ₹2.68L line) using a customer-match audience of past purchasers and cart-abandoners; retention CAC is typically a fraction of prospecting CAC, so this is likely the single highest-ROI addition available without any new creative production.</w:t>
      </w:r>
    </w:p>
    <w:p>
      <w:pPr>
        <w:sectPr>
          <w:headerReference w:type="default" r:id="rId15"/>
          <w:footerReference w:type="default" r:id="rId16"/>
          <w:pgSz w:w="12240" w:h="15840" w:orient="portrait"/>
          <w:pgMar w:top="720" w:right="720" w:bottom="720" w:left="720" w:header="708" w:footer="708" w:gutter="0"/>
          <w:pgNumType/>
          <w:docGrid w:linePitch="360"/>
        </w:sectPr>
      </w:pPr>
    </w:p>
    <w:p>
      <w:pPr>
        <w:pStyle w:val="Heading1"/>
        <w:spacing w:after="200" w:before="400"/>
      </w:pPr>
      <w:r>
        <w:t xml:space="preserve">5. The 25% Sales Growth Challenge</w:t>
      </w:r>
    </w:p>
    <w:p>
      <w:pPr>
        <w:pStyle w:val="Heading2"/>
        <w:spacing w:after="150" w:before="300"/>
      </w:pPr>
      <w:r>
        <w:t xml:space="preserve">5.1 The math</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5000"/>
        <w:gridCol w:w="3400"/>
      </w:tblGrid>
      <w:tr>
        <w:trPr>
          <w:tblHeader/>
        </w:trPr>
        <w:tc>
          <w:tcPr>
            <w:tcW w:type="dxa" w:w="5000"/>
            <w:shd w:fill="1F2A44" w:val="clear"/>
            <w:tcMar>
              <w:top w:type="dxa" w:w="60"/>
              <w:left w:type="dxa" w:w="80"/>
              <w:bottom w:type="dxa" w:w="60"/>
              <w:right w:type="dxa" w:w="80"/>
            </w:tcMar>
            <w:vAlign w:val="center"/>
          </w:tcPr>
          <w:p>
            <w:pPr>
              <w:jc w:val="left"/>
            </w:pPr>
            <w:r>
              <w:rPr>
                <w:b/>
                <w:bCs/>
                <w:color w:val="FFFFFF"/>
                <w:sz w:val="18"/>
                <w:szCs w:val="18"/>
              </w:rPr>
              <w:t xml:space="preserve">Variable</w:t>
            </w:r>
          </w:p>
        </w:tc>
        <w:tc>
          <w:tcPr>
            <w:tcW w:type="dxa" w:w="3400"/>
            <w:shd w:fill="1F2A44" w:val="clear"/>
            <w:tcMar>
              <w:top w:type="dxa" w:w="60"/>
              <w:left w:type="dxa" w:w="80"/>
              <w:bottom w:type="dxa" w:w="60"/>
              <w:right w:type="dxa" w:w="80"/>
            </w:tcMar>
            <w:vAlign w:val="center"/>
          </w:tcPr>
          <w:p>
            <w:pPr>
              <w:jc w:val="left"/>
            </w:pPr>
            <w:r>
              <w:rPr>
                <w:b/>
                <w:bCs/>
                <w:color w:val="FFFFFF"/>
                <w:sz w:val="18"/>
                <w:szCs w:val="18"/>
              </w:rPr>
              <w:t xml:space="preserve">Value</w:t>
            </w:r>
          </w:p>
        </w:tc>
      </w:tr>
      <w:tr>
        <w:tc>
          <w:tcPr>
            <w:tcW w:type="dxa" w:w="5000"/>
            <w:tcMar>
              <w:top w:type="dxa" w:w="60"/>
              <w:left w:type="dxa" w:w="80"/>
              <w:bottom w:type="dxa" w:w="60"/>
              <w:right w:type="dxa" w:w="80"/>
            </w:tcMar>
            <w:vAlign w:val="center"/>
          </w:tcPr>
          <w:p>
            <w:pPr>
              <w:jc w:val="left"/>
            </w:pPr>
            <w:r>
              <w:rPr>
                <w:b w:val="false"/>
                <w:bCs w:val="false"/>
                <w:color w:val="000000"/>
                <w:sz w:val="18"/>
                <w:szCs w:val="18"/>
              </w:rPr>
              <w:t xml:space="preserve">Current sales (6-mo Shopify net sales)</w:t>
            </w:r>
          </w:p>
        </w:tc>
        <w:tc>
          <w:tcPr>
            <w:tcW w:type="dxa" w:w="3400"/>
            <w:tcMar>
              <w:top w:type="dxa" w:w="60"/>
              <w:left w:type="dxa" w:w="80"/>
              <w:bottom w:type="dxa" w:w="60"/>
              <w:right w:type="dxa" w:w="80"/>
            </w:tcMar>
            <w:vAlign w:val="center"/>
          </w:tcPr>
          <w:p>
            <w:pPr>
              <w:jc w:val="left"/>
            </w:pPr>
            <w:r>
              <w:rPr>
                <w:b w:val="false"/>
                <w:bCs w:val="false"/>
                <w:color w:val="000000"/>
                <w:sz w:val="18"/>
                <w:szCs w:val="18"/>
              </w:rPr>
              <w:t xml:space="preserve">₹2,30,02,774</w:t>
            </w:r>
          </w:p>
        </w:tc>
      </w:tr>
      <w:tr>
        <w:tc>
          <w:tcPr>
            <w:tcW w:type="dxa" w:w="5000"/>
            <w:shd w:fill="F2F2F2" w:val="clear"/>
            <w:tcMar>
              <w:top w:type="dxa" w:w="60"/>
              <w:left w:type="dxa" w:w="80"/>
              <w:bottom w:type="dxa" w:w="60"/>
              <w:right w:type="dxa" w:w="80"/>
            </w:tcMar>
            <w:vAlign w:val="center"/>
          </w:tcPr>
          <w:p>
            <w:pPr>
              <w:jc w:val="left"/>
            </w:pPr>
            <w:r>
              <w:rPr>
                <w:b w:val="false"/>
                <w:bCs w:val="false"/>
                <w:color w:val="000000"/>
                <w:sz w:val="18"/>
                <w:szCs w:val="18"/>
              </w:rPr>
              <w:t xml:space="preserve">Target sales (× 1.25)</w:t>
            </w:r>
          </w:p>
        </w:tc>
        <w:tc>
          <w:tcPr>
            <w:tcW w:type="dxa" w:w="3400"/>
            <w:shd w:fill="F2F2F2" w:val="clear"/>
            <w:tcMar>
              <w:top w:type="dxa" w:w="60"/>
              <w:left w:type="dxa" w:w="80"/>
              <w:bottom w:type="dxa" w:w="60"/>
              <w:right w:type="dxa" w:w="80"/>
            </w:tcMar>
            <w:vAlign w:val="center"/>
          </w:tcPr>
          <w:p>
            <w:pPr>
              <w:jc w:val="left"/>
            </w:pPr>
            <w:r>
              <w:rPr>
                <w:b w:val="false"/>
                <w:bCs w:val="false"/>
                <w:color w:val="000000"/>
                <w:sz w:val="18"/>
                <w:szCs w:val="18"/>
              </w:rPr>
              <w:t xml:space="preserve">₹2,87,53,468</w:t>
            </w:r>
          </w:p>
        </w:tc>
      </w:tr>
      <w:tr>
        <w:tc>
          <w:tcPr>
            <w:tcW w:type="dxa" w:w="5000"/>
            <w:tcMar>
              <w:top w:type="dxa" w:w="60"/>
              <w:left w:type="dxa" w:w="80"/>
              <w:bottom w:type="dxa" w:w="60"/>
              <w:right w:type="dxa" w:w="80"/>
            </w:tcMar>
            <w:vAlign w:val="center"/>
          </w:tcPr>
          <w:p>
            <w:pPr>
              <w:jc w:val="left"/>
            </w:pPr>
            <w:r>
              <w:rPr>
                <w:b w:val="false"/>
                <w:bCs w:val="false"/>
                <w:color w:val="000000"/>
                <w:sz w:val="18"/>
                <w:szCs w:val="18"/>
              </w:rPr>
              <w:t xml:space="preserve">Current spend (Google + Meta)</w:t>
            </w:r>
          </w:p>
        </w:tc>
        <w:tc>
          <w:tcPr>
            <w:tcW w:type="dxa" w:w="3400"/>
            <w:tcMar>
              <w:top w:type="dxa" w:w="60"/>
              <w:left w:type="dxa" w:w="80"/>
              <w:bottom w:type="dxa" w:w="60"/>
              <w:right w:type="dxa" w:w="80"/>
            </w:tcMar>
            <w:vAlign w:val="center"/>
          </w:tcPr>
          <w:p>
            <w:pPr>
              <w:jc w:val="left"/>
            </w:pPr>
            <w:r>
              <w:rPr>
                <w:b w:val="false"/>
                <w:bCs w:val="false"/>
                <w:color w:val="000000"/>
                <w:sz w:val="18"/>
                <w:szCs w:val="18"/>
              </w:rPr>
              <w:t xml:space="preserve">₹62,80,407</w:t>
            </w:r>
          </w:p>
        </w:tc>
      </w:tr>
      <w:tr>
        <w:tc>
          <w:tcPr>
            <w:tcW w:type="dxa" w:w="5000"/>
            <w:shd w:fill="F2F2F2" w:val="clear"/>
            <w:tcMar>
              <w:top w:type="dxa" w:w="60"/>
              <w:left w:type="dxa" w:w="80"/>
              <w:bottom w:type="dxa" w:w="60"/>
              <w:right w:type="dxa" w:w="80"/>
            </w:tcMar>
            <w:vAlign w:val="center"/>
          </w:tcPr>
          <w:p>
            <w:pPr>
              <w:jc w:val="left"/>
            </w:pPr>
            <w:r>
              <w:rPr>
                <w:b w:val="false"/>
                <w:bCs w:val="false"/>
                <w:color w:val="000000"/>
                <w:sz w:val="18"/>
                <w:szCs w:val="18"/>
              </w:rPr>
              <w:t xml:space="preserve">Target spend</w:t>
            </w:r>
          </w:p>
        </w:tc>
        <w:tc>
          <w:tcPr>
            <w:tcW w:type="dxa" w:w="3400"/>
            <w:shd w:fill="F2F2F2" w:val="clear"/>
            <w:tcMar>
              <w:top w:type="dxa" w:w="60"/>
              <w:left w:type="dxa" w:w="80"/>
              <w:bottom w:type="dxa" w:w="60"/>
              <w:right w:type="dxa" w:w="80"/>
            </w:tcMar>
            <w:vAlign w:val="center"/>
          </w:tcPr>
          <w:p>
            <w:pPr>
              <w:jc w:val="left"/>
            </w:pPr>
            <w:r>
              <w:rPr>
                <w:b w:val="false"/>
                <w:bCs w:val="false"/>
                <w:color w:val="000000"/>
                <w:sz w:val="18"/>
                <w:szCs w:val="18"/>
              </w:rPr>
              <w:t xml:space="preserve">Unchanged — ₹62,80,407</w:t>
            </w:r>
          </w:p>
        </w:tc>
      </w:tr>
      <w:tr>
        <w:tc>
          <w:tcPr>
            <w:tcW w:type="dxa" w:w="5000"/>
            <w:tcMar>
              <w:top w:type="dxa" w:w="60"/>
              <w:left w:type="dxa" w:w="80"/>
              <w:bottom w:type="dxa" w:w="60"/>
              <w:right w:type="dxa" w:w="80"/>
            </w:tcMar>
            <w:vAlign w:val="center"/>
          </w:tcPr>
          <w:p>
            <w:pPr>
              <w:jc w:val="left"/>
            </w:pPr>
            <w:r>
              <w:rPr>
                <w:b w:val="false"/>
                <w:bCs w:val="false"/>
                <w:color w:val="000000"/>
                <w:sz w:val="18"/>
                <w:szCs w:val="18"/>
              </w:rPr>
              <w:t xml:space="preserve">Current blended ROAS</w:t>
            </w:r>
          </w:p>
        </w:tc>
        <w:tc>
          <w:tcPr>
            <w:tcW w:type="dxa" w:w="3400"/>
            <w:tcMar>
              <w:top w:type="dxa" w:w="60"/>
              <w:left w:type="dxa" w:w="80"/>
              <w:bottom w:type="dxa" w:w="60"/>
              <w:right w:type="dxa" w:w="80"/>
            </w:tcMar>
            <w:vAlign w:val="center"/>
          </w:tcPr>
          <w:p>
            <w:pPr>
              <w:jc w:val="left"/>
            </w:pPr>
            <w:r>
              <w:rPr>
                <w:b w:val="false"/>
                <w:bCs w:val="false"/>
                <w:color w:val="000000"/>
                <w:sz w:val="18"/>
                <w:szCs w:val="18"/>
              </w:rPr>
              <w:t xml:space="preserve">3.66x</w:t>
            </w:r>
          </w:p>
        </w:tc>
      </w:tr>
      <w:tr>
        <w:tc>
          <w:tcPr>
            <w:tcW w:type="dxa" w:w="5000"/>
            <w:shd w:fill="F2F2F2" w:val="clear"/>
            <w:tcMar>
              <w:top w:type="dxa" w:w="60"/>
              <w:left w:type="dxa" w:w="80"/>
              <w:bottom w:type="dxa" w:w="60"/>
              <w:right w:type="dxa" w:w="80"/>
            </w:tcMar>
            <w:vAlign w:val="center"/>
          </w:tcPr>
          <w:p>
            <w:pPr>
              <w:jc w:val="left"/>
            </w:pPr>
            <w:r>
              <w:rPr>
                <w:b w:val="false"/>
                <w:bCs w:val="false"/>
                <w:color w:val="000000"/>
                <w:sz w:val="18"/>
                <w:szCs w:val="18"/>
              </w:rPr>
              <w:t xml:space="preserve">Required ROAS at target</w:t>
            </w:r>
          </w:p>
        </w:tc>
        <w:tc>
          <w:tcPr>
            <w:tcW w:type="dxa" w:w="3400"/>
            <w:shd w:fill="F2F2F2" w:val="clear"/>
            <w:tcMar>
              <w:top w:type="dxa" w:w="60"/>
              <w:left w:type="dxa" w:w="80"/>
              <w:bottom w:type="dxa" w:w="60"/>
              <w:right w:type="dxa" w:w="80"/>
            </w:tcMar>
            <w:vAlign w:val="center"/>
          </w:tcPr>
          <w:p>
            <w:pPr>
              <w:jc w:val="left"/>
            </w:pPr>
            <w:r>
              <w:rPr>
                <w:b/>
                <w:bCs/>
                <w:color w:val="000000"/>
                <w:sz w:val="18"/>
                <w:szCs w:val="18"/>
              </w:rPr>
              <w:t xml:space="preserve">4.58x</w:t>
            </w:r>
          </w:p>
        </w:tc>
      </w:tr>
      <w:tr>
        <w:tc>
          <w:tcPr>
            <w:tcW w:type="dxa" w:w="5000"/>
            <w:tcMar>
              <w:top w:type="dxa" w:w="60"/>
              <w:left w:type="dxa" w:w="80"/>
              <w:bottom w:type="dxa" w:w="60"/>
              <w:right w:type="dxa" w:w="80"/>
            </w:tcMar>
            <w:vAlign w:val="center"/>
          </w:tcPr>
          <w:p>
            <w:pPr>
              <w:jc w:val="left"/>
            </w:pPr>
            <w:r>
              <w:rPr>
                <w:b/>
                <w:bCs/>
                <w:color w:val="000000"/>
                <w:sz w:val="18"/>
                <w:szCs w:val="18"/>
              </w:rPr>
              <w:t xml:space="preserve">Required efficiency gain</w:t>
            </w:r>
          </w:p>
        </w:tc>
        <w:tc>
          <w:tcPr>
            <w:tcW w:type="dxa" w:w="3400"/>
            <w:tcMar>
              <w:top w:type="dxa" w:w="60"/>
              <w:left w:type="dxa" w:w="80"/>
              <w:bottom w:type="dxa" w:w="60"/>
              <w:right w:type="dxa" w:w="80"/>
            </w:tcMar>
            <w:vAlign w:val="center"/>
          </w:tcPr>
          <w:p>
            <w:pPr>
              <w:jc w:val="left"/>
            </w:pPr>
            <w:r>
              <w:rPr>
                <w:b/>
                <w:bCs/>
                <w:color w:val="B03A2E"/>
                <w:sz w:val="18"/>
                <w:szCs w:val="18"/>
              </w:rPr>
              <w:t xml:space="preserve">+25.0%</w:t>
            </w:r>
          </w:p>
        </w:tc>
      </w:tr>
    </w:tbl>
    <w:p>
      <w:pPr>
        <w:spacing w:after="150"/>
      </w:pPr>
      <w:r>
        <w:rPr>
          <w:i/>
          <w:iCs/>
        </w:rPr>
        <w:t xml:space="preserve">Because spend is held flat, the required efficiency gain always equals the sales growth target exactly — that's arithmetic, not a finding. The real question is whether a 25% blended-ROAS improvement is realistic given what this account's own data shows about how it behaves at scale.</w:t>
      </w:r>
    </w:p>
    <w:p>
      <w:pPr>
        <w:pStyle w:val="Heading2"/>
        <w:spacing w:after="150" w:before="300"/>
      </w:pPr>
      <w:r>
        <w:t xml:space="preserve">5.2 What the data says is realistically available</w:t>
      </w:r>
    </w:p>
    <w:p>
      <w:pPr>
        <w:pStyle w:val="ListParagraph"/>
        <w:numPr>
          <w:ilvl w:val="0"/>
          <w:numId w:val="1"/>
        </w:numPr>
        <w:spacing w:after="80"/>
      </w:pPr>
      <w:r>
        <w:t xml:space="preserve">Waste removal: ₹1.42L in zero-return spend redirected to campaigns already averaging 2–6x ROAS — a small but immediate, low-risk efficiency gain (≈ 1–2 points of the 25%).</w:t>
      </w:r>
    </w:p>
    <w:p>
      <w:pPr>
        <w:pStyle w:val="ListParagraph"/>
        <w:numPr>
          <w:ilvl w:val="0"/>
          <w:numId w:val="1"/>
        </w:numPr>
        <w:spacing w:after="80"/>
      </w:pPr>
      <w:r>
        <w:t xml:space="preserve">Fixing the two saturated mega-campaigns: pulling ₹5.0L combined out of campaigns now running at 1.19–1.43x and redeploying it into Google Search/Shopping (6–12x) and the four scaling Meta winners (2.0–2.2x) is the single largest lever in this plan — potentially the largest contributor to closing the gap, but only if the redeployed budget holds its current efficiency at greater volume, which is not guaranteed (see 5.3).</w:t>
      </w:r>
    </w:p>
    <w:p>
      <w:pPr>
        <w:pStyle w:val="ListParagraph"/>
        <w:numPr>
          <w:ilvl w:val="0"/>
          <w:numId w:val="1"/>
        </w:numPr>
        <w:spacing w:after="80"/>
      </w:pPr>
      <w:r>
        <w:t xml:space="preserve">Retention: a dedicated win-back campaign against the existing 335-order returning-customer base, plus new cart-abandoners, typically converts at lower CAC than cold prospecting — directionally helpful, though this account has no historical retention-campaign data to size the effect precisely.</w:t>
      </w:r>
    </w:p>
    <w:p>
      <w:pPr>
        <w:pStyle w:val="ListParagraph"/>
        <w:numPr>
          <w:ilvl w:val="0"/>
          <w:numId w:val="1"/>
        </w:numPr>
        <w:spacing w:after="80"/>
      </w:pPr>
      <w:r>
        <w:t xml:space="preserve">Conversion-rate/funnel work: not measurable from this dataset (no landing-page or funnel-step data beyond Meta's own funnel events), but the gap between new-customer volume and returning-customer volume suggests post-purchase and email/CRM conversion flows are underused.</w:t>
      </w:r>
    </w:p>
    <w:p>
      <w:pPr>
        <w:pStyle w:val="Heading2"/>
        <w:spacing w:after="150" w:before="300"/>
      </w:pPr>
      <w:r>
        <w:t xml:space="preserve">5.3 Reality check — what could stop this from reaching 25%</w:t>
      </w:r>
    </w:p>
    <w:p>
      <w:pPr>
        <w:pStyle w:val="ListParagraph"/>
        <w:numPr>
          <w:ilvl w:val="0"/>
          <w:numId w:val="1"/>
        </w:numPr>
        <w:spacing w:after="80"/>
      </w:pPr>
      <w:r>
        <w:t xml:space="preserve">Google is only 6.3% of spend today. Its 6–12x ROAS is real, but search/shopping demand for a specific luxury jewellery brand's keywords is finite — tripling Google spend (as this plan does) will very likely not sustain 9–12x ROAS at 3x the volume. Expect efficiency to compress somewhat as it scales, the same pattern already visible in the Meta mega-campaigns.</w:t>
      </w:r>
    </w:p>
    <w:p>
      <w:pPr>
        <w:pStyle w:val="ListParagraph"/>
        <w:numPr>
          <w:ilvl w:val="0"/>
          <w:numId w:val="1"/>
        </w:numPr>
        <w:spacing w:after="80"/>
      </w:pPr>
      <w:r>
        <w:t xml:space="preserve">The account's own history over the last four months is the strongest evidence against assuming reallocation alone gets to +25%: blended ROAS fell from 3.09x to 1.59x precisely while spend was being scaled into what looked like winning campaigns at the time. Scaling winners has already been tried once in this account and produced declining, not improving, efficiency.</w:t>
      </w:r>
    </w:p>
    <w:p>
      <w:pPr>
        <w:pStyle w:val="ListParagraph"/>
        <w:numPr>
          <w:ilvl w:val="0"/>
          <w:numId w:val="1"/>
        </w:numPr>
        <w:spacing w:after="80"/>
      </w:pPr>
      <w:r>
        <w:t xml:space="preserve">42% of Shopify net sales isn't attributed to either ad platform (Section 1.3). If a meaningful share of that is organic/direct/repeat and not directly paid-media-driven, then growing paid spend efficiency alone cannot deliver 25% of total business growth — some of that 25% depends on levers (referral, retention, organic, pricing/AOV) outside this ad account entirely.</w:t>
      </w:r>
    </w:p>
    <w:p>
      <w:pPr>
        <w:pStyle w:val="Heading2"/>
        <w:spacing w:after="150" w:before="300"/>
      </w:pPr>
      <w:r>
        <w:t xml:space="preserve">5.4 Honest verdict</w:t>
      </w:r>
    </w:p>
    <w:p>
      <w:pPr>
        <w:spacing w:after="150"/>
      </w:pPr>
      <w:r>
        <w:t xml:space="preserve">Based on the data, +25% sales at flat spend purely from ad-account efficiency gains is optimistic, not implausible. Realistically, the reallocation plan in Section 3 should close somewhere between half and two-thirds of the required 25% efficiency gain — mainly from redeploying the ~₹6.5L currently sitting in dead and saturated spend into proven winners. Closing the remainder credibly would need at least two of the following to also be true within the plan period: (1) new creative concepts tested and proven at the same or better ROAS than current top performers, so scaling doesn't just repeat the saturation pattern already seen; (2) a measurable lift from the new retention campaign, which has no baseline in this account yet; (3) either an extended timeline (a full quarter rather than the growth-plan period implied here) or acceptance of a partial-year target with a revised full-25% date once new creative and retention data exist.</w:t>
      </w:r>
    </w:p>
    <w:p>
      <w:pPr>
        <w:spacing w:after="150"/>
      </w:pPr>
      <w:r>
        <w:rPr>
          <w:b/>
          <w:bCs/>
          <w:i/>
          <w:iCs/>
        </w:rPr>
        <w:t xml:space="preserve">We would rather tell the client this than promise a number the account's own recent history argues against.</w:t>
      </w:r>
    </w:p>
    <w:p>
      <w:pPr>
        <w:pStyle w:val="Heading2"/>
        <w:spacing w:after="150" w:before="300"/>
      </w:pPr>
      <w:r>
        <w:t xml:space="preserve">5.5 Tests to run, with success criteria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2800"/>
      </w:tblGrid>
      <w:tr>
        <w:trPr>
          <w:tblHeader/>
        </w:trPr>
        <w:tc>
          <w:tcPr>
            <w:tcW w:type="dxa" w:w="3200"/>
            <w:shd w:fill="1F2A44" w:val="clear"/>
            <w:tcMar>
              <w:top w:type="dxa" w:w="60"/>
              <w:left w:type="dxa" w:w="80"/>
              <w:bottom w:type="dxa" w:w="60"/>
              <w:right w:type="dxa" w:w="80"/>
            </w:tcMar>
            <w:vAlign w:val="center"/>
          </w:tcPr>
          <w:p>
            <w:pPr>
              <w:jc w:val="left"/>
            </w:pPr>
            <w:r>
              <w:rPr>
                <w:b/>
                <w:bCs/>
                <w:color w:val="FFFFFF"/>
                <w:sz w:val="18"/>
                <w:szCs w:val="18"/>
              </w:rPr>
              <w:t xml:space="preserve">Test</w:t>
            </w:r>
          </w:p>
        </w:tc>
        <w:tc>
          <w:tcPr>
            <w:tcW w:type="dxa" w:w="3400"/>
            <w:shd w:fill="1F2A44" w:val="clear"/>
            <w:tcMar>
              <w:top w:type="dxa" w:w="60"/>
              <w:left w:type="dxa" w:w="80"/>
              <w:bottom w:type="dxa" w:w="60"/>
              <w:right w:type="dxa" w:w="80"/>
            </w:tcMar>
            <w:vAlign w:val="center"/>
          </w:tcPr>
          <w:p>
            <w:pPr>
              <w:jc w:val="left"/>
            </w:pPr>
            <w:r>
              <w:rPr>
                <w:b/>
                <w:bCs/>
                <w:color w:val="FFFFFF"/>
                <w:sz w:val="18"/>
                <w:szCs w:val="18"/>
              </w:rPr>
              <w:t xml:space="preserve">What it validates</w:t>
            </w:r>
          </w:p>
        </w:tc>
        <w:tc>
          <w:tcPr>
            <w:tcW w:type="dxa" w:w="2800"/>
            <w:shd w:fill="1F2A44" w:val="clear"/>
            <w:tcMar>
              <w:top w:type="dxa" w:w="60"/>
              <w:left w:type="dxa" w:w="80"/>
              <w:bottom w:type="dxa" w:w="60"/>
              <w:right w:type="dxa" w:w="80"/>
            </w:tcMar>
            <w:vAlign w:val="center"/>
          </w:tcPr>
          <w:p>
            <w:pPr>
              <w:jc w:val="left"/>
            </w:pPr>
            <w:r>
              <w:rPr>
                <w:b/>
                <w:bCs/>
                <w:color w:val="FFFFFF"/>
                <w:sz w:val="18"/>
                <w:szCs w:val="18"/>
              </w:rPr>
              <w:t xml:space="preserve">Success looks like</w:t>
            </w:r>
          </w:p>
        </w:tc>
      </w:tr>
      <w:tr>
        <w:tc>
          <w:tcPr>
            <w:tcW w:type="dxa" w:w="3200"/>
            <w:tcMar>
              <w:top w:type="dxa" w:w="60"/>
              <w:left w:type="dxa" w:w="80"/>
              <w:bottom w:type="dxa" w:w="60"/>
              <w:right w:type="dxa" w:w="80"/>
            </w:tcMar>
            <w:vAlign w:val="center"/>
          </w:tcPr>
          <w:p>
            <w:pPr>
              <w:jc w:val="left"/>
            </w:pPr>
            <w:r>
              <w:rPr>
                <w:b w:val="false"/>
                <w:bCs w:val="false"/>
                <w:color w:val="000000"/>
                <w:sz w:val="18"/>
                <w:szCs w:val="18"/>
              </w:rPr>
              <w:t xml:space="preserve">2–3 new creative concepts vs. current top performer, Ind|Direct campaign</w:t>
            </w:r>
          </w:p>
        </w:tc>
        <w:tc>
          <w:tcPr>
            <w:tcW w:type="dxa" w:w="3400"/>
            <w:tcMar>
              <w:top w:type="dxa" w:w="60"/>
              <w:left w:type="dxa" w:w="80"/>
              <w:bottom w:type="dxa" w:w="60"/>
              <w:right w:type="dxa" w:w="80"/>
            </w:tcMar>
            <w:vAlign w:val="center"/>
          </w:tcPr>
          <w:p>
            <w:pPr>
              <w:jc w:val="left"/>
            </w:pPr>
            <w:r>
              <w:rPr>
                <w:b w:val="false"/>
                <w:bCs w:val="false"/>
                <w:color w:val="000000"/>
                <w:sz w:val="18"/>
                <w:szCs w:val="18"/>
              </w:rPr>
              <w:t xml:space="preserve">Whether fatigue is creative-driven and fixable without new audiences</w:t>
            </w:r>
          </w:p>
        </w:tc>
        <w:tc>
          <w:tcPr>
            <w:tcW w:type="dxa" w:w="2800"/>
            <w:tcMar>
              <w:top w:type="dxa" w:w="60"/>
              <w:left w:type="dxa" w:w="80"/>
              <w:bottom w:type="dxa" w:w="60"/>
              <w:right w:type="dxa" w:w="80"/>
            </w:tcMar>
            <w:vAlign w:val="center"/>
          </w:tcPr>
          <w:p>
            <w:pPr>
              <w:jc w:val="left"/>
            </w:pPr>
            <w:r>
              <w:rPr>
                <w:b w:val="false"/>
                <w:bCs w:val="false"/>
                <w:color w:val="000000"/>
                <w:sz w:val="18"/>
                <w:szCs w:val="18"/>
              </w:rPr>
              <w:t xml:space="preserve">New concept holds ≥1.8x ROAS at ≥₹50K spend over 2 weeks</w:t>
            </w:r>
          </w:p>
        </w:tc>
      </w:tr>
      <w:tr>
        <w:tc>
          <w:tcPr>
            <w:tcW w:type="dxa" w:w="3200"/>
            <w:shd w:fill="F2F2F2" w:val="clear"/>
            <w:tcMar>
              <w:top w:type="dxa" w:w="60"/>
              <w:left w:type="dxa" w:w="80"/>
              <w:bottom w:type="dxa" w:w="60"/>
              <w:right w:type="dxa" w:w="80"/>
            </w:tcMar>
            <w:vAlign w:val="center"/>
          </w:tcPr>
          <w:p>
            <w:pPr>
              <w:jc w:val="left"/>
            </w:pPr>
            <w:r>
              <w:rPr>
                <w:b w:val="false"/>
                <w:bCs w:val="false"/>
                <w:color w:val="000000"/>
                <w:sz w:val="18"/>
                <w:szCs w:val="18"/>
              </w:rPr>
              <w:t xml:space="preserve">Retention/win-back campaign, India + US customer lists</w:t>
            </w:r>
          </w:p>
        </w:tc>
        <w:tc>
          <w:tcPr>
            <w:tcW w:type="dxa" w:w="3400"/>
            <w:shd w:fill="F2F2F2" w:val="clear"/>
            <w:tcMar>
              <w:top w:type="dxa" w:w="60"/>
              <w:left w:type="dxa" w:w="80"/>
              <w:bottom w:type="dxa" w:w="60"/>
              <w:right w:type="dxa" w:w="80"/>
            </w:tcMar>
            <w:vAlign w:val="center"/>
          </w:tcPr>
          <w:p>
            <w:pPr>
              <w:jc w:val="left"/>
            </w:pPr>
            <w:r>
              <w:rPr>
                <w:b w:val="false"/>
                <w:bCs w:val="false"/>
                <w:color w:val="000000"/>
                <w:sz w:val="18"/>
                <w:szCs w:val="18"/>
              </w:rPr>
              <w:t xml:space="preserve">Retention CAC vs. prospecting CAC</w:t>
            </w:r>
          </w:p>
        </w:tc>
        <w:tc>
          <w:tcPr>
            <w:tcW w:type="dxa" w:w="2800"/>
            <w:shd w:fill="F2F2F2" w:val="clear"/>
            <w:tcMar>
              <w:top w:type="dxa" w:w="60"/>
              <w:left w:type="dxa" w:w="80"/>
              <w:bottom w:type="dxa" w:w="60"/>
              <w:right w:type="dxa" w:w="80"/>
            </w:tcMar>
            <w:vAlign w:val="center"/>
          </w:tcPr>
          <w:p>
            <w:pPr>
              <w:jc w:val="left"/>
            </w:pPr>
            <w:r>
              <w:rPr>
                <w:b w:val="false"/>
                <w:bCs w:val="false"/>
                <w:color w:val="000000"/>
                <w:sz w:val="18"/>
                <w:szCs w:val="18"/>
              </w:rPr>
              <w:t xml:space="preserve">ROAS ≥ 3.0x within first ₹1L spend (retention typically outperforms prospecting)</w:t>
            </w:r>
          </w:p>
        </w:tc>
      </w:tr>
      <w:tr>
        <w:tc>
          <w:tcPr>
            <w:tcW w:type="dxa" w:w="3200"/>
            <w:tcMar>
              <w:top w:type="dxa" w:w="60"/>
              <w:left w:type="dxa" w:w="80"/>
              <w:bottom w:type="dxa" w:w="60"/>
              <w:right w:type="dxa" w:w="80"/>
            </w:tcMar>
            <w:vAlign w:val="center"/>
          </w:tcPr>
          <w:p>
            <w:pPr>
              <w:jc w:val="left"/>
            </w:pPr>
            <w:r>
              <w:rPr>
                <w:b w:val="false"/>
                <w:bCs w:val="false"/>
                <w:color w:val="000000"/>
                <w:sz w:val="18"/>
                <w:szCs w:val="18"/>
              </w:rPr>
              <w:t xml:space="preserve">Google Search India scale-up (₹1.5L → ₹2.2L)</w:t>
            </w:r>
          </w:p>
        </w:tc>
        <w:tc>
          <w:tcPr>
            <w:tcW w:type="dxa" w:w="3400"/>
            <w:tcMar>
              <w:top w:type="dxa" w:w="60"/>
              <w:left w:type="dxa" w:w="80"/>
              <w:bottom w:type="dxa" w:w="60"/>
              <w:right w:type="dxa" w:w="80"/>
            </w:tcMar>
            <w:vAlign w:val="center"/>
          </w:tcPr>
          <w:p>
            <w:pPr>
              <w:jc w:val="left"/>
            </w:pPr>
            <w:r>
              <w:rPr>
                <w:b w:val="false"/>
                <w:bCs w:val="false"/>
                <w:color w:val="000000"/>
                <w:sz w:val="18"/>
                <w:szCs w:val="18"/>
              </w:rPr>
              <w:t xml:space="preserve">Whether ROAS compresses as Search spend grows</w:t>
            </w:r>
          </w:p>
        </w:tc>
        <w:tc>
          <w:tcPr>
            <w:tcW w:type="dxa" w:w="2800"/>
            <w:tcMar>
              <w:top w:type="dxa" w:w="60"/>
              <w:left w:type="dxa" w:w="80"/>
              <w:bottom w:type="dxa" w:w="60"/>
              <w:right w:type="dxa" w:w="80"/>
            </w:tcMar>
            <w:vAlign w:val="center"/>
          </w:tcPr>
          <w:p>
            <w:pPr>
              <w:jc w:val="left"/>
            </w:pPr>
            <w:r>
              <w:rPr>
                <w:b w:val="false"/>
                <w:bCs w:val="false"/>
                <w:color w:val="000000"/>
                <w:sz w:val="18"/>
                <w:szCs w:val="18"/>
              </w:rPr>
              <w:t xml:space="preserve">ROAS holds ≥ 8x at the new spend level</w:t>
            </w:r>
          </w:p>
        </w:tc>
      </w:tr>
      <w:tr>
        <w:tc>
          <w:tcPr>
            <w:tcW w:type="dxa" w:w="3200"/>
            <w:shd w:fill="F2F2F2" w:val="clear"/>
            <w:tcMar>
              <w:top w:type="dxa" w:w="60"/>
              <w:left w:type="dxa" w:w="80"/>
              <w:bottom w:type="dxa" w:w="60"/>
              <w:right w:type="dxa" w:w="80"/>
            </w:tcMar>
            <w:vAlign w:val="center"/>
          </w:tcPr>
          <w:p>
            <w:pPr>
              <w:jc w:val="left"/>
            </w:pPr>
            <w:r>
              <w:rPr>
                <w:b w:val="false"/>
                <w:bCs w:val="false"/>
                <w:color w:val="000000"/>
                <w:sz w:val="18"/>
                <w:szCs w:val="18"/>
              </w:rPr>
              <w:t xml:space="preserve">3rd Feb|ABO test at ₹15K</w:t>
            </w:r>
          </w:p>
        </w:tc>
        <w:tc>
          <w:tcPr>
            <w:tcW w:type="dxa" w:w="3400"/>
            <w:shd w:fill="F2F2F2" w:val="clear"/>
            <w:tcMar>
              <w:top w:type="dxa" w:w="60"/>
              <w:left w:type="dxa" w:w="80"/>
              <w:bottom w:type="dxa" w:w="60"/>
              <w:right w:type="dxa" w:w="80"/>
            </w:tcMar>
            <w:vAlign w:val="center"/>
          </w:tcPr>
          <w:p>
            <w:pPr>
              <w:jc w:val="left"/>
            </w:pPr>
            <w:r>
              <w:rPr>
                <w:b w:val="false"/>
                <w:bCs w:val="false"/>
                <w:color w:val="000000"/>
                <w:sz w:val="18"/>
                <w:szCs w:val="18"/>
              </w:rPr>
              <w:t xml:space="preserve">Whether the 41.6x single-purchase result repeats</w:t>
            </w:r>
          </w:p>
        </w:tc>
        <w:tc>
          <w:tcPr>
            <w:tcW w:type="dxa" w:w="2800"/>
            <w:shd w:fill="F2F2F2" w:val="clear"/>
            <w:tcMar>
              <w:top w:type="dxa" w:w="60"/>
              <w:left w:type="dxa" w:w="80"/>
              <w:bottom w:type="dxa" w:w="60"/>
              <w:right w:type="dxa" w:w="80"/>
            </w:tcMar>
            <w:vAlign w:val="center"/>
          </w:tcPr>
          <w:p>
            <w:pPr>
              <w:jc w:val="left"/>
            </w:pPr>
            <w:r>
              <w:rPr>
                <w:b w:val="false"/>
                <w:bCs w:val="false"/>
                <w:color w:val="000000"/>
                <w:sz w:val="18"/>
                <w:szCs w:val="18"/>
              </w:rPr>
              <w:t xml:space="preserve">≥ 5 purchases at ≥ 3x ROAS before further scaling</w:t>
            </w:r>
          </w:p>
        </w:tc>
      </w:tr>
    </w:tbl>
    <w:p>
      <w:pPr>
        <w:sectPr>
          <w:headerReference w:type="default" r:id="rId17"/>
          <w:footerReference w:type="default" r:id="rId18"/>
          <w:pgSz w:w="12240" w:h="15840" w:orient="portrait"/>
          <w:pgMar w:top="720" w:right="720" w:bottom="720" w:left="720" w:header="708" w:footer="708" w:gutter="0"/>
          <w:pgNumType/>
          <w:docGrid w:linePitch="360"/>
        </w:sectPr>
      </w:pPr>
    </w:p>
    <w:p>
      <w:pPr>
        <w:pStyle w:val="Heading1"/>
        <w:spacing w:after="200" w:before="400"/>
      </w:pPr>
      <w:r>
        <w:t xml:space="preserve">6. BI Report — Structure, Data Model &amp; Measures</w:t>
      </w:r>
    </w:p>
    <w:p>
      <w:pPr>
        <w:spacing w:after="150"/>
      </w:pPr>
      <w:r>
        <w:t xml:space="preserve">This section is the build spec for the Power BI (or Looker Studio) file — the report itself should be built directly in that tool. Use this as the blueprint.</w:t>
      </w:r>
    </w:p>
    <w:p>
      <w:pPr>
        <w:pStyle w:val="Heading2"/>
        <w:spacing w:after="150" w:before="300"/>
      </w:pPr>
      <w:r>
        <w:t xml:space="preserve">6.1 Data model</w:t>
      </w:r>
    </w:p>
    <w:p>
      <w:pPr>
        <w:pStyle w:val="ListParagraph"/>
        <w:numPr>
          <w:ilvl w:val="0"/>
          <w:numId w:val="1"/>
        </w:numPr>
        <w:spacing w:after="80"/>
      </w:pPr>
      <w:r>
        <w:t xml:space="preserve">Fact_Google (grain: Date × Campaign × Country) — from Google_Ads_data.csv</w:t>
      </w:r>
    </w:p>
    <w:p>
      <w:pPr>
        <w:pStyle w:val="ListParagraph"/>
        <w:numPr>
          <w:ilvl w:val="0"/>
          <w:numId w:val="1"/>
        </w:numPr>
        <w:spacing w:after="80"/>
      </w:pPr>
      <w:r>
        <w:t xml:space="preserve">Fact_Meta (grain: Date × Campaign × Ad Set × Ad × Country) — from Facebook_Ads_data.csv</w:t>
      </w:r>
    </w:p>
    <w:p>
      <w:pPr>
        <w:pStyle w:val="ListParagraph"/>
        <w:numPr>
          <w:ilvl w:val="0"/>
          <w:numId w:val="1"/>
        </w:numPr>
        <w:spacing w:after="80"/>
      </w:pPr>
      <w:r>
        <w:t xml:space="preserve">Fact_Shopify (grain: Order line item) — from Shopify_sales_data.csv</w:t>
      </w:r>
    </w:p>
    <w:p>
      <w:pPr>
        <w:pStyle w:val="ListParagraph"/>
        <w:numPr>
          <w:ilvl w:val="0"/>
          <w:numId w:val="1"/>
        </w:numPr>
        <w:spacing w:after="80"/>
      </w:pPr>
      <w:r>
        <w:t xml:space="preserve">Dim_Date — standard date table, marked as the official Date table, joined 1:many to all three fact tables</w:t>
      </w:r>
    </w:p>
    <w:p>
      <w:pPr>
        <w:pStyle w:val="ListParagraph"/>
        <w:numPr>
          <w:ilvl w:val="0"/>
          <w:numId w:val="1"/>
        </w:numPr>
        <w:spacing w:after="80"/>
      </w:pPr>
      <w:r>
        <w:t xml:space="preserve">Dim_Platform — two rows (Google, Meta), used to build a unified “Fact_Ads_Unified” table (UNION of Google + Meta at Date × Platform × Campaign × Spend × Revenue × Conversions) for platform-agnostic visuals</w:t>
      </w:r>
    </w:p>
    <w:p>
      <w:pPr>
        <w:spacing w:after="150"/>
      </w:pPr>
      <w:r>
        <w:rPr>
          <w:i/>
          <w:iCs/>
        </w:rPr>
        <w:t xml:space="preserve">Relationships: Dim_Date[Date] → (1:*) each fact table's date column. Do not relate Fact_Shopify directly to Fact_Google/Fact_Meta — as documented in 1.3, there is no reliable order-level join key between Shopify and the ad platforms in this export, so blended/business-level ROAS must be built as a measure that independently sums each table, not via a merged relationship.</w:t>
      </w:r>
    </w:p>
    <w:p>
      <w:pPr>
        <w:pStyle w:val="Heading2"/>
        <w:spacing w:after="150" w:before="300"/>
      </w:pPr>
      <w:r>
        <w:t xml:space="preserve">6.2 Core DAX measures (Power BI)</w:t>
      </w:r>
    </w:p>
    <w:p>
      <w:pPr>
        <w:pStyle w:val="ListParagraph"/>
        <w:numPr>
          <w:ilvl w:val="0"/>
          <w:numId w:val="1"/>
        </w:numPr>
        <w:spacing w:after="80"/>
      </w:pPr>
      <w:r>
        <w:t xml:space="preserve">Total Spend = SUM(Fact_Ads_Unified[Spend])</w:t>
      </w:r>
    </w:p>
    <w:p>
      <w:pPr>
        <w:pStyle w:val="ListParagraph"/>
        <w:numPr>
          <w:ilvl w:val="0"/>
          <w:numId w:val="1"/>
        </w:numPr>
        <w:spacing w:after="80"/>
      </w:pPr>
      <w:r>
        <w:t xml:space="preserve">Total Ad Revenue = SUM(Fact_Ads_Unified[Revenue])</w:t>
      </w:r>
    </w:p>
    <w:p>
      <w:pPr>
        <w:pStyle w:val="ListParagraph"/>
        <w:numPr>
          <w:ilvl w:val="0"/>
          <w:numId w:val="1"/>
        </w:numPr>
        <w:spacing w:after="80"/>
      </w:pPr>
      <w:r>
        <w:t xml:space="preserve">Platform ROAS = DIVIDE([Total Ad Revenue], [Total Spend], 0)</w:t>
      </w:r>
    </w:p>
    <w:p>
      <w:pPr>
        <w:pStyle w:val="ListParagraph"/>
        <w:numPr>
          <w:ilvl w:val="0"/>
          <w:numId w:val="1"/>
        </w:numPr>
        <w:spacing w:after="80"/>
      </w:pPr>
      <w:r>
        <w:t xml:space="preserve">Shopify Net Sales = SUM(Fact_Shopify[Net Sales (INR)])</w:t>
      </w:r>
    </w:p>
    <w:p>
      <w:pPr>
        <w:pStyle w:val="ListParagraph"/>
        <w:numPr>
          <w:ilvl w:val="0"/>
          <w:numId w:val="1"/>
        </w:numPr>
        <w:spacing w:after="80"/>
      </w:pPr>
      <w:r>
        <w:t xml:space="preserve">Business ROAS = DIVIDE([Shopify Net Sales], [Total Spend], 0)</w:t>
      </w:r>
    </w:p>
    <w:p>
      <w:pPr>
        <w:pStyle w:val="ListParagraph"/>
        <w:numPr>
          <w:ilvl w:val="0"/>
          <w:numId w:val="1"/>
        </w:numPr>
        <w:spacing w:after="80"/>
      </w:pPr>
      <w:r>
        <w:t xml:space="preserve">CTR = DIVIDE(SUM(Fact_Ads_Unified[Clicks]), SUM(Fact_Ads_Unified[Impressions]), 0)</w:t>
      </w:r>
    </w:p>
    <w:p>
      <w:pPr>
        <w:pStyle w:val="ListParagraph"/>
        <w:numPr>
          <w:ilvl w:val="0"/>
          <w:numId w:val="1"/>
        </w:numPr>
        <w:spacing w:after="80"/>
      </w:pPr>
      <w:r>
        <w:t xml:space="preserve">CPC = DIVIDE([Total Spend], SUM(Fact_Ads_Unified[Clicks]), 0)</w:t>
      </w:r>
    </w:p>
    <w:p>
      <w:pPr>
        <w:pStyle w:val="ListParagraph"/>
        <w:numPr>
          <w:ilvl w:val="0"/>
          <w:numId w:val="1"/>
        </w:numPr>
        <w:spacing w:after="80"/>
      </w:pPr>
      <w:r>
        <w:t xml:space="preserve">CPM = DIVIDE([Total Spend], SUM(Fact_Ads_Unified[Impressions]), 0) * 1000</w:t>
      </w:r>
    </w:p>
    <w:p>
      <w:pPr>
        <w:pStyle w:val="ListParagraph"/>
        <w:numPr>
          <w:ilvl w:val="0"/>
          <w:numId w:val="1"/>
        </w:numPr>
        <w:spacing w:after="80"/>
      </w:pPr>
      <w:r>
        <w:t xml:space="preserve">Conversion Rate = DIVIDE(SUM(Fact_Ads_Unified[Conversions]), SUM(Fact_Ads_Unified[Clicks]), 0)</w:t>
      </w:r>
    </w:p>
    <w:p>
      <w:pPr>
        <w:pStyle w:val="ListParagraph"/>
        <w:numPr>
          <w:ilvl w:val="0"/>
          <w:numId w:val="1"/>
        </w:numPr>
        <w:spacing w:after="80"/>
      </w:pPr>
      <w:r>
        <w:t xml:space="preserve">MoM ROAS = VAR PrevMonth = CALCULATE([Platform ROAS], DATEADD(Dim_Date[Date], -1, MONTH)) RETURN DIVIDE([Platform ROAS] - PrevMonth, PrevMonth, 0)</w:t>
      </w:r>
    </w:p>
    <w:p>
      <w:pPr>
        <w:pStyle w:val="ListParagraph"/>
        <w:numPr>
          <w:ilvl w:val="0"/>
          <w:numId w:val="1"/>
        </w:numPr>
        <w:spacing w:after="80"/>
      </w:pPr>
      <w:r>
        <w:t xml:space="preserve">AOV = DIVIDE([Shopify Net Sales], SUM(Fact_Shopify[Orders]), 0)</w:t>
      </w:r>
    </w:p>
    <w:p>
      <w:pPr>
        <w:pStyle w:val="ListParagraph"/>
        <w:numPr>
          <w:ilvl w:val="0"/>
          <w:numId w:val="1"/>
        </w:numPr>
        <w:spacing w:after="80"/>
      </w:pPr>
      <w:r>
        <w:t xml:space="preserve">Returning Customer % = DIVIDE(SUM(Fact_Shopify[Returning Customer Orders]), SUM(Fact_Shopify[Orders]), 0)</w:t>
      </w:r>
    </w:p>
    <w:p>
      <w:pPr>
        <w:pStyle w:val="ListParagraph"/>
        <w:numPr>
          <w:ilvl w:val="0"/>
          <w:numId w:val="1"/>
        </w:numPr>
        <w:spacing w:after="80"/>
      </w:pPr>
      <w:r>
        <w:t xml:space="preserve">Required ROAS for Target = DIVIDE([Shopify Net Sales] * 1.25, [Total Spend], 0)   // Section 5 target line</w:t>
      </w:r>
    </w:p>
    <w:p>
      <w:pPr>
        <w:pStyle w:val="ListParagraph"/>
        <w:numPr>
          <w:ilvl w:val="0"/>
          <w:numId w:val="1"/>
        </w:numPr>
        <w:spacing w:after="80"/>
      </w:pPr>
      <w:r>
        <w:t xml:space="preserve">Spend Share by Campaign = DIVIDE(SUM(Fact_Ads_Unified[Spend]), CALCULATE(SUM(Fact_Ads_Unified[Spend]), ALL(Fact_Ads_Unified[Campaign])), 0)</w:t>
      </w:r>
    </w:p>
    <w:p>
      <w:pPr>
        <w:pStyle w:val="Heading2"/>
        <w:spacing w:after="150" w:before="300"/>
      </w:pPr>
      <w:r>
        <w:t xml:space="preserve">6.3 Page flow (7 pages, as briefed)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5700"/>
      </w:tblGrid>
      <w:tr>
        <w:trPr>
          <w:tblHeader/>
        </w:trPr>
        <w:tc>
          <w:tcPr>
            <w:tcW w:type="dxa" w:w="500"/>
            <w:shd w:fill="1F2A44" w:val="clear"/>
            <w:tcMar>
              <w:top w:type="dxa" w:w="60"/>
              <w:left w:type="dxa" w:w="80"/>
              <w:bottom w:type="dxa" w:w="60"/>
              <w:right w:type="dxa" w:w="80"/>
            </w:tcMar>
            <w:vAlign w:val="center"/>
          </w:tcPr>
          <w:p>
            <w:pPr>
              <w:jc w:val="left"/>
            </w:pPr>
            <w:r>
              <w:rPr>
                <w:b/>
                <w:bCs/>
                <w:color w:val="FFFFFF"/>
                <w:sz w:val="18"/>
                <w:szCs w:val="18"/>
              </w:rPr>
              <w:t xml:space="preserve">#</w:t>
            </w:r>
          </w:p>
        </w:tc>
        <w:tc>
          <w:tcPr>
            <w:tcW w:type="dxa" w:w="3200"/>
            <w:shd w:fill="1F2A44" w:val="clear"/>
            <w:tcMar>
              <w:top w:type="dxa" w:w="60"/>
              <w:left w:type="dxa" w:w="80"/>
              <w:bottom w:type="dxa" w:w="60"/>
              <w:right w:type="dxa" w:w="80"/>
            </w:tcMar>
            <w:vAlign w:val="center"/>
          </w:tcPr>
          <w:p>
            <w:pPr>
              <w:jc w:val="left"/>
            </w:pPr>
            <w:r>
              <w:rPr>
                <w:b/>
                <w:bCs/>
                <w:color w:val="FFFFFF"/>
                <w:sz w:val="18"/>
                <w:szCs w:val="18"/>
              </w:rPr>
              <w:t xml:space="preserve">Page</w:t>
            </w:r>
          </w:p>
        </w:tc>
        <w:tc>
          <w:tcPr>
            <w:tcW w:type="dxa" w:w="5700"/>
            <w:shd w:fill="1F2A44" w:val="clear"/>
            <w:tcMar>
              <w:top w:type="dxa" w:w="60"/>
              <w:left w:type="dxa" w:w="80"/>
              <w:bottom w:type="dxa" w:w="60"/>
              <w:right w:type="dxa" w:w="80"/>
            </w:tcMar>
            <w:vAlign w:val="center"/>
          </w:tcPr>
          <w:p>
            <w:pPr>
              <w:jc w:val="left"/>
            </w:pPr>
            <w:r>
              <w:rPr>
                <w:b/>
                <w:bCs/>
                <w:color w:val="FFFFFF"/>
                <w:sz w:val="18"/>
                <w:szCs w:val="18"/>
              </w:rPr>
              <w:t xml:space="preserve">Key visuals</w:t>
            </w:r>
          </w:p>
        </w:tc>
      </w:tr>
      <w:tr>
        <w:tc>
          <w:tcPr>
            <w:tcW w:type="dxa" w:w="500"/>
            <w:tcMar>
              <w:top w:type="dxa" w:w="60"/>
              <w:left w:type="dxa" w:w="80"/>
              <w:bottom w:type="dxa" w:w="60"/>
              <w:right w:type="dxa" w:w="80"/>
            </w:tcMar>
            <w:vAlign w:val="center"/>
          </w:tcPr>
          <w:p>
            <w:pPr>
              <w:jc w:val="left"/>
            </w:pPr>
            <w:r>
              <w:rPr>
                <w:b w:val="false"/>
                <w:bCs w:val="false"/>
                <w:color w:val="000000"/>
                <w:sz w:val="18"/>
                <w:szCs w:val="18"/>
              </w:rPr>
              <w:t xml:space="preserve">1</w:t>
            </w:r>
          </w:p>
        </w:tc>
        <w:tc>
          <w:tcPr>
            <w:tcW w:type="dxa" w:w="3200"/>
            <w:tcMar>
              <w:top w:type="dxa" w:w="60"/>
              <w:left w:type="dxa" w:w="80"/>
              <w:bottom w:type="dxa" w:w="60"/>
              <w:right w:type="dxa" w:w="80"/>
            </w:tcMar>
            <w:vAlign w:val="center"/>
          </w:tcPr>
          <w:p>
            <w:pPr>
              <w:jc w:val="left"/>
            </w:pPr>
            <w:r>
              <w:rPr>
                <w:b w:val="false"/>
                <w:bCs w:val="false"/>
                <w:color w:val="000000"/>
                <w:sz w:val="18"/>
                <w:szCs w:val="18"/>
              </w:rPr>
              <w:t xml:space="preserve">Executive Overview</w:t>
            </w:r>
          </w:p>
        </w:tc>
        <w:tc>
          <w:tcPr>
            <w:tcW w:type="dxa" w:w="5700"/>
            <w:tcMar>
              <w:top w:type="dxa" w:w="60"/>
              <w:left w:type="dxa" w:w="80"/>
              <w:bottom w:type="dxa" w:w="60"/>
              <w:right w:type="dxa" w:w="80"/>
            </w:tcMar>
            <w:vAlign w:val="center"/>
          </w:tcPr>
          <w:p>
            <w:pPr>
              <w:jc w:val="left"/>
            </w:pPr>
            <w:r>
              <w:rPr>
                <w:b w:val="false"/>
                <w:bCs w:val="false"/>
                <w:color w:val="000000"/>
                <w:sz w:val="18"/>
                <w:szCs w:val="18"/>
              </w:rPr>
              <w:t xml:space="preserve">KPI cards (Spend, Ad Revenue, Business ROAS, Orders); Spend vs. Sales trend line; ROAS trend line with target line at 4.58x</w:t>
            </w:r>
          </w:p>
        </w:tc>
      </w:tr>
      <w:tr>
        <w:tc>
          <w:tcPr>
            <w:tcW w:type="dxa" w:w="500"/>
            <w:shd w:fill="F2F2F2" w:val="clear"/>
            <w:tcMar>
              <w:top w:type="dxa" w:w="60"/>
              <w:left w:type="dxa" w:w="80"/>
              <w:bottom w:type="dxa" w:w="60"/>
              <w:right w:type="dxa" w:w="80"/>
            </w:tcMar>
            <w:vAlign w:val="center"/>
          </w:tcPr>
          <w:p>
            <w:pPr>
              <w:jc w:val="left"/>
            </w:pPr>
            <w:r>
              <w:rPr>
                <w:b w:val="false"/>
                <w:bCs w:val="false"/>
                <w:color w:val="000000"/>
                <w:sz w:val="18"/>
                <w:szCs w:val="18"/>
              </w:rPr>
              <w:t xml:space="preserve">2</w:t>
            </w:r>
          </w:p>
        </w:tc>
        <w:tc>
          <w:tcPr>
            <w:tcW w:type="dxa" w:w="3200"/>
            <w:shd w:fill="F2F2F2" w:val="clear"/>
            <w:tcMar>
              <w:top w:type="dxa" w:w="60"/>
              <w:left w:type="dxa" w:w="80"/>
              <w:bottom w:type="dxa" w:w="60"/>
              <w:right w:type="dxa" w:w="80"/>
            </w:tcMar>
            <w:vAlign w:val="center"/>
          </w:tcPr>
          <w:p>
            <w:pPr>
              <w:jc w:val="left"/>
            </w:pPr>
            <w:r>
              <w:rPr>
                <w:b w:val="false"/>
                <w:bCs w:val="false"/>
                <w:color w:val="000000"/>
                <w:sz w:val="18"/>
                <w:szCs w:val="18"/>
              </w:rPr>
              <w:t xml:space="preserve">Channel/Platform Performance</w:t>
            </w:r>
          </w:p>
        </w:tc>
        <w:tc>
          <w:tcPr>
            <w:tcW w:type="dxa" w:w="5700"/>
            <w:shd w:fill="F2F2F2" w:val="clear"/>
            <w:tcMar>
              <w:top w:type="dxa" w:w="60"/>
              <w:left w:type="dxa" w:w="80"/>
              <w:bottom w:type="dxa" w:w="60"/>
              <w:right w:type="dxa" w:w="80"/>
            </w:tcMar>
            <w:vAlign w:val="center"/>
          </w:tcPr>
          <w:p>
            <w:pPr>
              <w:jc w:val="left"/>
            </w:pPr>
            <w:r>
              <w:rPr>
                <w:b w:val="false"/>
                <w:bCs w:val="false"/>
                <w:color w:val="000000"/>
                <w:sz w:val="18"/>
                <w:szCs w:val="18"/>
              </w:rPr>
              <w:t xml:space="preserve">Google vs. Meta: Spend, ROAS, CTR, CPC, CPM side-by-side bars; spend-share vs. ROAS-share scatter</w:t>
            </w:r>
          </w:p>
        </w:tc>
      </w:tr>
      <w:tr>
        <w:tc>
          <w:tcPr>
            <w:tcW w:type="dxa" w:w="500"/>
            <w:tcMar>
              <w:top w:type="dxa" w:w="60"/>
              <w:left w:type="dxa" w:w="80"/>
              <w:bottom w:type="dxa" w:w="60"/>
              <w:right w:type="dxa" w:w="80"/>
            </w:tcMar>
            <w:vAlign w:val="center"/>
          </w:tcPr>
          <w:p>
            <w:pPr>
              <w:jc w:val="left"/>
            </w:pPr>
            <w:r>
              <w:rPr>
                <w:b w:val="false"/>
                <w:bCs w:val="false"/>
                <w:color w:val="000000"/>
                <w:sz w:val="18"/>
                <w:szCs w:val="18"/>
              </w:rPr>
              <w:t xml:space="preserve">3</w:t>
            </w:r>
          </w:p>
        </w:tc>
        <w:tc>
          <w:tcPr>
            <w:tcW w:type="dxa" w:w="3200"/>
            <w:tcMar>
              <w:top w:type="dxa" w:w="60"/>
              <w:left w:type="dxa" w:w="80"/>
              <w:bottom w:type="dxa" w:w="60"/>
              <w:right w:type="dxa" w:w="80"/>
            </w:tcMar>
            <w:vAlign w:val="center"/>
          </w:tcPr>
          <w:p>
            <w:pPr>
              <w:jc w:val="left"/>
            </w:pPr>
            <w:r>
              <w:rPr>
                <w:b w:val="false"/>
                <w:bCs w:val="false"/>
                <w:color w:val="000000"/>
                <w:sz w:val="18"/>
                <w:szCs w:val="18"/>
              </w:rPr>
              <w:t xml:space="preserve">Campaign Performance</w:t>
            </w:r>
          </w:p>
        </w:tc>
        <w:tc>
          <w:tcPr>
            <w:tcW w:type="dxa" w:w="5700"/>
            <w:tcMar>
              <w:top w:type="dxa" w:w="60"/>
              <w:left w:type="dxa" w:w="80"/>
              <w:bottom w:type="dxa" w:w="60"/>
              <w:right w:type="dxa" w:w="80"/>
            </w:tcMar>
            <w:vAlign w:val="center"/>
          </w:tcPr>
          <w:p>
            <w:pPr>
              <w:jc w:val="left"/>
            </w:pPr>
            <w:r>
              <w:rPr>
                <w:b w:val="false"/>
                <w:bCs w:val="false"/>
                <w:color w:val="000000"/>
                <w:sz w:val="18"/>
                <w:szCs w:val="18"/>
              </w:rPr>
              <w:t xml:space="preserve">Campaign table with conditional-formatted ROAS column; spend-vs-ROAS scatter with bubble size = revenue (identifies the saturation quadrant)</w:t>
            </w:r>
          </w:p>
        </w:tc>
      </w:tr>
      <w:tr>
        <w:tc>
          <w:tcPr>
            <w:tcW w:type="dxa" w:w="500"/>
            <w:shd w:fill="F2F2F2" w:val="clear"/>
            <w:tcMar>
              <w:top w:type="dxa" w:w="60"/>
              <w:left w:type="dxa" w:w="80"/>
              <w:bottom w:type="dxa" w:w="60"/>
              <w:right w:type="dxa" w:w="80"/>
            </w:tcMar>
            <w:vAlign w:val="center"/>
          </w:tcPr>
          <w:p>
            <w:pPr>
              <w:jc w:val="left"/>
            </w:pPr>
            <w:r>
              <w:rPr>
                <w:b w:val="false"/>
                <w:bCs w:val="false"/>
                <w:color w:val="000000"/>
                <w:sz w:val="18"/>
                <w:szCs w:val="18"/>
              </w:rPr>
              <w:t xml:space="preserve">4</w:t>
            </w:r>
          </w:p>
        </w:tc>
        <w:tc>
          <w:tcPr>
            <w:tcW w:type="dxa" w:w="3200"/>
            <w:shd w:fill="F2F2F2" w:val="clear"/>
            <w:tcMar>
              <w:top w:type="dxa" w:w="60"/>
              <w:left w:type="dxa" w:w="80"/>
              <w:bottom w:type="dxa" w:w="60"/>
              <w:right w:type="dxa" w:w="80"/>
            </w:tcMar>
            <w:vAlign w:val="center"/>
          </w:tcPr>
          <w:p>
            <w:pPr>
              <w:jc w:val="left"/>
            </w:pPr>
            <w:r>
              <w:rPr>
                <w:b w:val="false"/>
                <w:bCs w:val="false"/>
                <w:color w:val="000000"/>
                <w:sz w:val="18"/>
                <w:szCs w:val="18"/>
              </w:rPr>
              <w:t xml:space="preserve">Ad Set &amp; Ad Deep Dive</w:t>
            </w:r>
          </w:p>
        </w:tc>
        <w:tc>
          <w:tcPr>
            <w:tcW w:type="dxa" w:w="5700"/>
            <w:shd w:fill="F2F2F2" w:val="clear"/>
            <w:tcMar>
              <w:top w:type="dxa" w:w="60"/>
              <w:left w:type="dxa" w:w="80"/>
              <w:bottom w:type="dxa" w:w="60"/>
              <w:right w:type="dxa" w:w="80"/>
            </w:tcMar>
            <w:vAlign w:val="center"/>
          </w:tcPr>
          <w:p>
            <w:pPr>
              <w:jc w:val="left"/>
            </w:pPr>
            <w:r>
              <w:rPr>
                <w:b w:val="false"/>
                <w:bCs w:val="false"/>
                <w:color w:val="000000"/>
                <w:sz w:val="18"/>
                <w:szCs w:val="18"/>
              </w:rPr>
              <w:t xml:space="preserve">Drill-through from Campaign; ROAS-over-time small multiples per ad set to surface fatigue curves like Section 2.2</w:t>
            </w:r>
          </w:p>
        </w:tc>
      </w:tr>
      <w:tr>
        <w:tc>
          <w:tcPr>
            <w:tcW w:type="dxa" w:w="500"/>
            <w:tcMar>
              <w:top w:type="dxa" w:w="60"/>
              <w:left w:type="dxa" w:w="80"/>
              <w:bottom w:type="dxa" w:w="60"/>
              <w:right w:type="dxa" w:w="80"/>
            </w:tcMar>
            <w:vAlign w:val="center"/>
          </w:tcPr>
          <w:p>
            <w:pPr>
              <w:jc w:val="left"/>
            </w:pPr>
            <w:r>
              <w:rPr>
                <w:b w:val="false"/>
                <w:bCs w:val="false"/>
                <w:color w:val="000000"/>
                <w:sz w:val="18"/>
                <w:szCs w:val="18"/>
              </w:rPr>
              <w:t xml:space="preserve">5</w:t>
            </w:r>
          </w:p>
        </w:tc>
        <w:tc>
          <w:tcPr>
            <w:tcW w:type="dxa" w:w="3200"/>
            <w:tcMar>
              <w:top w:type="dxa" w:w="60"/>
              <w:left w:type="dxa" w:w="80"/>
              <w:bottom w:type="dxa" w:w="60"/>
              <w:right w:type="dxa" w:w="80"/>
            </w:tcMar>
            <w:vAlign w:val="center"/>
          </w:tcPr>
          <w:p>
            <w:pPr>
              <w:jc w:val="left"/>
            </w:pPr>
            <w:r>
              <w:rPr>
                <w:b w:val="false"/>
                <w:bCs w:val="false"/>
                <w:color w:val="000000"/>
                <w:sz w:val="18"/>
                <w:szCs w:val="18"/>
              </w:rPr>
              <w:t xml:space="preserve">Funnel &amp; Efficiency</w:t>
            </w:r>
          </w:p>
        </w:tc>
        <w:tc>
          <w:tcPr>
            <w:tcW w:type="dxa" w:w="5700"/>
            <w:tcMar>
              <w:top w:type="dxa" w:w="60"/>
              <w:left w:type="dxa" w:w="80"/>
              <w:bottom w:type="dxa" w:w="60"/>
              <w:right w:type="dxa" w:w="80"/>
            </w:tcMar>
            <w:vAlign w:val="center"/>
          </w:tcPr>
          <w:p>
            <w:pPr>
              <w:jc w:val="left"/>
            </w:pPr>
            <w:r>
              <w:rPr>
                <w:b w:val="false"/>
                <w:bCs w:val="false"/>
                <w:color w:val="000000"/>
                <w:sz w:val="18"/>
                <w:szCs w:val="18"/>
              </w:rPr>
              <w:t xml:space="preserve">CTR/CPC/CPM trend lines; conversion-rate by campaign; new vs. returning customer split</w:t>
            </w:r>
          </w:p>
        </w:tc>
      </w:tr>
      <w:tr>
        <w:tc>
          <w:tcPr>
            <w:tcW w:type="dxa" w:w="500"/>
            <w:shd w:fill="F2F2F2" w:val="clear"/>
            <w:tcMar>
              <w:top w:type="dxa" w:w="60"/>
              <w:left w:type="dxa" w:w="80"/>
              <w:bottom w:type="dxa" w:w="60"/>
              <w:right w:type="dxa" w:w="80"/>
            </w:tcMar>
            <w:vAlign w:val="center"/>
          </w:tcPr>
          <w:p>
            <w:pPr>
              <w:jc w:val="left"/>
            </w:pPr>
            <w:r>
              <w:rPr>
                <w:b w:val="false"/>
                <w:bCs w:val="false"/>
                <w:color w:val="000000"/>
                <w:sz w:val="18"/>
                <w:szCs w:val="18"/>
              </w:rPr>
              <w:t xml:space="preserve">6</w:t>
            </w:r>
          </w:p>
        </w:tc>
        <w:tc>
          <w:tcPr>
            <w:tcW w:type="dxa" w:w="3200"/>
            <w:shd w:fill="F2F2F2" w:val="clear"/>
            <w:tcMar>
              <w:top w:type="dxa" w:w="60"/>
              <w:left w:type="dxa" w:w="80"/>
              <w:bottom w:type="dxa" w:w="60"/>
              <w:right w:type="dxa" w:w="80"/>
            </w:tcMar>
            <w:vAlign w:val="center"/>
          </w:tcPr>
          <w:p>
            <w:pPr>
              <w:jc w:val="left"/>
            </w:pPr>
            <w:r>
              <w:rPr>
                <w:b w:val="false"/>
                <w:bCs w:val="false"/>
                <w:color w:val="000000"/>
                <w:sz w:val="18"/>
                <w:szCs w:val="18"/>
              </w:rPr>
              <w:t xml:space="preserve">Budget Reallocation &amp; Growth Plan</w:t>
            </w:r>
          </w:p>
        </w:tc>
        <w:tc>
          <w:tcPr>
            <w:tcW w:type="dxa" w:w="5700"/>
            <w:shd w:fill="F2F2F2" w:val="clear"/>
            <w:tcMar>
              <w:top w:type="dxa" w:w="60"/>
              <w:left w:type="dxa" w:w="80"/>
              <w:bottom w:type="dxa" w:w="60"/>
              <w:right w:type="dxa" w:w="80"/>
            </w:tcMar>
            <w:vAlign w:val="center"/>
          </w:tcPr>
          <w:p>
            <w:pPr>
              <w:jc w:val="left"/>
            </w:pPr>
            <w:r>
              <w:rPr>
                <w:b w:val="false"/>
                <w:bCs w:val="false"/>
                <w:color w:val="000000"/>
                <w:sz w:val="18"/>
                <w:szCs w:val="18"/>
              </w:rPr>
              <w:t xml:space="preserve">Current vs. proposed spend waterfall by campaign; required-ROAS gauge vs. current ROAS</w:t>
            </w:r>
          </w:p>
        </w:tc>
      </w:tr>
      <w:tr>
        <w:tc>
          <w:tcPr>
            <w:tcW w:type="dxa" w:w="500"/>
            <w:tcMar>
              <w:top w:type="dxa" w:w="60"/>
              <w:left w:type="dxa" w:w="80"/>
              <w:bottom w:type="dxa" w:w="60"/>
              <w:right w:type="dxa" w:w="80"/>
            </w:tcMar>
            <w:vAlign w:val="center"/>
          </w:tcPr>
          <w:p>
            <w:pPr>
              <w:jc w:val="left"/>
            </w:pPr>
            <w:r>
              <w:rPr>
                <w:b w:val="false"/>
                <w:bCs w:val="false"/>
                <w:color w:val="000000"/>
                <w:sz w:val="18"/>
                <w:szCs w:val="18"/>
              </w:rPr>
              <w:t xml:space="preserve">7</w:t>
            </w:r>
          </w:p>
        </w:tc>
        <w:tc>
          <w:tcPr>
            <w:tcW w:type="dxa" w:w="3200"/>
            <w:tcMar>
              <w:top w:type="dxa" w:w="60"/>
              <w:left w:type="dxa" w:w="80"/>
              <w:bottom w:type="dxa" w:w="60"/>
              <w:right w:type="dxa" w:w="80"/>
            </w:tcMar>
            <w:vAlign w:val="center"/>
          </w:tcPr>
          <w:p>
            <w:pPr>
              <w:jc w:val="left"/>
            </w:pPr>
            <w:r>
              <w:rPr>
                <w:b w:val="false"/>
                <w:bCs w:val="false"/>
                <w:color w:val="000000"/>
                <w:sz w:val="18"/>
                <w:szCs w:val="18"/>
              </w:rPr>
              <w:t xml:space="preserve">Management Summary</w:t>
            </w:r>
          </w:p>
        </w:tc>
        <w:tc>
          <w:tcPr>
            <w:tcW w:type="dxa" w:w="5700"/>
            <w:tcMar>
              <w:top w:type="dxa" w:w="60"/>
              <w:left w:type="dxa" w:w="80"/>
              <w:bottom w:type="dxa" w:w="60"/>
              <w:right w:type="dxa" w:w="80"/>
            </w:tcMar>
            <w:vAlign w:val="center"/>
          </w:tcPr>
          <w:p>
            <w:pPr>
              <w:jc w:val="left"/>
            </w:pPr>
            <w:r>
              <w:rPr>
                <w:b w:val="false"/>
                <w:bCs w:val="false"/>
                <w:color w:val="000000"/>
                <w:sz w:val="18"/>
                <w:szCs w:val="18"/>
              </w:rPr>
              <w:t xml:space="preserve">Text-box summary mirroring Section 7 of this document, built as static cards, not charts</w:t>
            </w:r>
          </w:p>
        </w:tc>
      </w:tr>
    </w:tbl>
    <w:p>
      <w:pPr>
        <w:pStyle w:val="ListParagraph"/>
        <w:numPr>
          <w:ilvl w:val="0"/>
          <w:numId w:val="1"/>
        </w:numPr>
        <w:spacing w:after="80"/>
      </w:pPr>
      <w:r>
        <w:t xml:space="preserve">Slicers on every page: Date range, Platform, Country/Geo</w:t>
      </w:r>
    </w:p>
    <w:p>
      <w:pPr>
        <w:pStyle w:val="ListParagraph"/>
        <w:numPr>
          <w:ilvl w:val="0"/>
          <w:numId w:val="1"/>
        </w:numPr>
        <w:spacing w:after="80"/>
      </w:pPr>
      <w:r>
        <w:t xml:space="preserve">Looker Studio equivalent: same page structure; use Calculated Fields for the DIVIDE-style ratios above (Looker auto-handles divide-by-zero) and Blended Data Sources to union Google + Meta for the unified fact table</w:t>
      </w:r>
    </w:p>
    <w:p>
      <w:pPr>
        <w:sectPr>
          <w:headerReference w:type="default" r:id="rId19"/>
          <w:footerReference w:type="default" r:id="rId20"/>
          <w:pgSz w:w="12240" w:h="15840" w:orient="portrait"/>
          <w:pgMar w:top="720" w:right="720" w:bottom="720" w:left="720" w:header="708" w:footer="708" w:gutter="0"/>
          <w:pgNumType/>
          <w:docGrid w:linePitch="360"/>
        </w:sectPr>
      </w:pPr>
    </w:p>
    <w:p>
      <w:pPr>
        <w:pStyle w:val="Heading1"/>
        <w:spacing w:after="200" w:before="400"/>
      </w:pPr>
      <w:r>
        <w:t xml:space="preserve">7. Final Recommendation — Management Summary</w:t>
      </w:r>
    </w:p>
    <w:p>
      <w:pPr>
        <w:spacing w:after="150"/>
      </w:pPr>
      <w:r>
        <w:rPr>
          <w:i/>
          <w:iCs/>
          <w:color w:val="6B6B6B"/>
        </w:rPr>
        <w:t xml:space="preserve">(Under two minutes. Every line is a fact from the data or a decision that follows from it.)</w:t>
      </w:r>
    </w:p>
    <w:p>
      <w:pPr>
        <w:spacing w:after="100" w:before="200"/>
      </w:pPr>
      <w:r>
        <w:rPr>
          <w:b/>
          <w:bCs/>
          <w:color w:val="1F2A44"/>
          <w:sz w:val="22"/>
          <w:szCs w:val="22"/>
        </w:rPr>
        <w:t xml:space="preserve">1. What is working?</w:t>
      </w:r>
    </w:p>
    <w:p>
      <w:pPr>
        <w:spacing w:after="150"/>
      </w:pPr>
      <w:r>
        <w:t xml:space="preserve">Google Search &amp; Shopping (5–12x ROAS on just 6.3% of spend) and four specific Meta campaigns — US Direct, TOF Sales India Open, TOF Sale US, and Australia EOSS — all running 2.0–2.2x ROAS with no fatigue.</w:t>
      </w:r>
    </w:p>
    <w:p>
      <w:pPr>
        <w:spacing w:after="100" w:before="200"/>
      </w:pPr>
      <w:r>
        <w:rPr>
          <w:b/>
          <w:bCs/>
          <w:color w:val="1F2A44"/>
          <w:sz w:val="22"/>
          <w:szCs w:val="22"/>
        </w:rPr>
        <w:t xml:space="preserve">2. What is not working?</w:t>
      </w:r>
    </w:p>
    <w:p>
      <w:pPr>
        <w:spacing w:after="150"/>
      </w:pPr>
      <w:r>
        <w:t xml:space="preserve">The two largest Meta campaigns (46% of total budget) have seen ROAS fall by more than half since April as spend was scaled up. ₹1.42L sits in zero-return campaigns.</w:t>
      </w:r>
    </w:p>
    <w:p>
      <w:pPr>
        <w:spacing w:after="100" w:before="200"/>
      </w:pPr>
      <w:r>
        <w:rPr>
          <w:b/>
          <w:bCs/>
          <w:color w:val="1F2A44"/>
          <w:sz w:val="22"/>
          <w:szCs w:val="22"/>
        </w:rPr>
        <w:t xml:space="preserve">3. Who are the winners?</w:t>
      </w:r>
    </w:p>
    <w:p>
      <w:pPr>
        <w:spacing w:after="150"/>
      </w:pPr>
      <w:r>
        <w:t xml:space="preserve">Google Search India (12.08x), Google Search INT (9.37x), Google Pmax HP EOSS (6.40x), Meta US Direct (1.97x and climbing), Meta TOF Sales India Open (2.12x).</w:t>
      </w:r>
    </w:p>
    <w:p>
      <w:pPr>
        <w:spacing w:after="100" w:before="200"/>
      </w:pPr>
      <w:r>
        <w:rPr>
          <w:b/>
          <w:bCs/>
          <w:color w:val="1F2A44"/>
          <w:sz w:val="22"/>
          <w:szCs w:val="22"/>
        </w:rPr>
        <w:t xml:space="preserve">4. Who are the losers?</w:t>
      </w:r>
    </w:p>
    <w:p>
      <w:pPr>
        <w:spacing w:after="150"/>
      </w:pPr>
      <w:r>
        <w:t xml:space="preserve">Meta TOF Sale India (dead since June), Meta UK EOSS (0.81x), Meta INT Direct (1.11x), Google Pmax India 03-02 (0.05x), plus 9 zero-conversion campaigns/ad sets across both platforms.</w:t>
      </w:r>
    </w:p>
    <w:p>
      <w:pPr>
        <w:spacing w:after="100" w:before="200"/>
      </w:pPr>
      <w:r>
        <w:rPr>
          <w:b/>
          <w:bCs/>
          <w:color w:val="1F2A44"/>
          <w:sz w:val="22"/>
          <w:szCs w:val="22"/>
        </w:rPr>
        <w:t xml:space="preserve">5. Where would you increase budget?</w:t>
      </w:r>
    </w:p>
    <w:p>
      <w:pPr>
        <w:spacing w:after="150"/>
      </w:pPr>
      <w:r>
        <w:t xml:space="preserve">Google Search &amp; Shopping across the board; Meta's four proven, still-scaling winners; and a new retention/win-back campaign that doesn't exist today.</w:t>
      </w:r>
    </w:p>
    <w:p>
      <w:pPr>
        <w:spacing w:after="100" w:before="200"/>
      </w:pPr>
      <w:r>
        <w:rPr>
          <w:b/>
          <w:bCs/>
          <w:color w:val="1F2A44"/>
          <w:sz w:val="22"/>
          <w:szCs w:val="22"/>
        </w:rPr>
        <w:t xml:space="preserve">6. Where would you reduce budget?</w:t>
      </w:r>
    </w:p>
    <w:p>
      <w:pPr>
        <w:spacing w:after="150"/>
      </w:pPr>
      <w:r>
        <w:t xml:space="preserve">The two saturated Meta mega-campaigns, Meta INT Direct, Meta UK EOSS, and Google's weakest Shopping campaign — all reduced, not necessarily to zero.</w:t>
      </w:r>
    </w:p>
    <w:p>
      <w:pPr>
        <w:spacing w:after="100" w:before="200"/>
      </w:pPr>
      <w:r>
        <w:rPr>
          <w:b/>
          <w:bCs/>
          <w:color w:val="1F2A44"/>
          <w:sz w:val="22"/>
          <w:szCs w:val="22"/>
        </w:rPr>
        <w:t xml:space="preserve">7. Why is the brand not scaling?</w:t>
      </w:r>
    </w:p>
    <w:p>
      <w:pPr>
        <w:spacing w:after="150"/>
      </w:pPr>
      <w:r>
        <w:t xml:space="preserve">(1) Its two biggest campaigns are audience/creative-saturated from scaling too fast; (2) real money is leaking into zero-return and wrong-objective campaigns; (3) there is no retention motion despite 79% of orders coming from new customers.</w:t>
      </w:r>
    </w:p>
    <w:p>
      <w:pPr>
        <w:spacing w:after="100" w:before="200"/>
      </w:pPr>
      <w:r>
        <w:rPr>
          <w:b/>
          <w:bCs/>
          <w:color w:val="1F2A44"/>
          <w:sz w:val="22"/>
          <w:szCs w:val="22"/>
        </w:rPr>
        <w:t xml:space="preserve">8. How would you work toward 25% more sales with the same budget?</w:t>
      </w:r>
    </w:p>
    <w:p>
      <w:pPr>
        <w:spacing w:after="150"/>
      </w:pPr>
      <w:r>
        <w:t xml:space="preserve">Reallocate from dead/saturated spend into proven winners (closes an estimated half to two-thirds of the required 25% ROAS gain), launch retention, and test new creative on the saturated campaigns before scaling them further. Full 25% likely needs new creative validated at scale plus either more time or a revised interim target.</w:t>
      </w:r>
    </w:p>
    <w:p>
      <w:pPr>
        <w:spacing w:after="100" w:before="200"/>
      </w:pPr>
      <w:r>
        <w:rPr>
          <w:b/>
          <w:bCs/>
          <w:color w:val="1F2A44"/>
          <w:sz w:val="22"/>
          <w:szCs w:val="22"/>
        </w:rPr>
        <w:t xml:space="preserve">9. What are your top 5 actions?</w:t>
      </w:r>
    </w:p>
    <w:p>
      <w:pPr>
        <w:pStyle w:val="ListParagraph"/>
        <w:numPr>
          <w:ilvl w:val="0"/>
          <w:numId w:val="1"/>
        </w:numPr>
        <w:spacing w:after="80"/>
      </w:pPr>
      <w:r>
        <w:t xml:space="preserve">Kill all zero-return and wrong-objective campaigns (≈₹1.42L freed immediately).</w:t>
      </w:r>
    </w:p>
    <w:p>
      <w:pPr>
        <w:pStyle w:val="ListParagraph"/>
        <w:numPr>
          <w:ilvl w:val="0"/>
          <w:numId w:val="1"/>
        </w:numPr>
        <w:spacing w:after="80"/>
      </w:pPr>
      <w:r>
        <w:t xml:space="preserve">Cap and refresh creative on the two saturated Meta mega-campaigns before any further scaling.</w:t>
      </w:r>
    </w:p>
    <w:p>
      <w:pPr>
        <w:pStyle w:val="ListParagraph"/>
        <w:numPr>
          <w:ilvl w:val="0"/>
          <w:numId w:val="1"/>
        </w:numPr>
        <w:spacing w:after="80"/>
      </w:pPr>
      <w:r>
        <w:t xml:space="preserve">Shift freed budget into Google Search/Shopping and the four proven Meta winners.</w:t>
      </w:r>
    </w:p>
    <w:p>
      <w:pPr>
        <w:pStyle w:val="ListParagraph"/>
        <w:numPr>
          <w:ilvl w:val="0"/>
          <w:numId w:val="1"/>
        </w:numPr>
        <w:spacing w:after="80"/>
      </w:pPr>
      <w:r>
        <w:t xml:space="preserve">Launch a dedicated retention/win-back campaign against the existing customer list.</w:t>
      </w:r>
    </w:p>
    <w:p>
      <w:pPr>
        <w:pStyle w:val="ListParagraph"/>
        <w:numPr>
          <w:ilvl w:val="0"/>
          <w:numId w:val="1"/>
        </w:numPr>
        <w:spacing w:after="80"/>
      </w:pPr>
      <w:r>
        <w:t xml:space="preserve">Fix Shopify traffic-source tagging so future reports can reconcile ad spend to actual orders, not just platform-reported conversion value.</w:t>
      </w:r>
    </w:p>
    <w:sectPr>
      <w:headerReference w:type="default" r:id="rId21"/>
      <w:footerReference w:type="default" r:id="rId22"/>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Page </w:t>
    </w:r>
    <w:r>
      <w:rPr>
        <w:color w:val="6B6B6B"/>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Page </w:t>
    </w:r>
    <w:r>
      <w:rPr>
        <w:color w:val="6B6B6B"/>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Page </w:t>
    </w:r>
    <w:r>
      <w:rPr>
        <w:color w:val="6B6B6B"/>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Page </w:t>
    </w:r>
    <w:r>
      <w:rPr>
        <w:color w:val="6B6B6B"/>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Page </w:t>
    </w:r>
    <w:r>
      <w:rPr>
        <w:color w:val="6B6B6B"/>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Page </w:t>
    </w:r>
    <w:r>
      <w:rPr>
        <w:color w:val="6B6B6B"/>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Page </w:t>
    </w:r>
    <w:r>
      <w:rPr>
        <w:color w:val="6B6B6B"/>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Page </w:t>
    </w:r>
    <w:r>
      <w:rPr>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6B6B"/>
        <w:sz w:val="16"/>
        <w:szCs w:val="16"/>
      </w:rPr>
      <w:t xml:space="preserve">GROWIFY DIGITAL — CANDIDATE ASSESSMENT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6B6B"/>
        <w:sz w:val="16"/>
        <w:szCs w:val="16"/>
      </w:rPr>
      <w:t xml:space="preserve">GROWIFY DIGITAL — CANDIDATE ASSESSMENT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6B6B"/>
        <w:sz w:val="16"/>
        <w:szCs w:val="16"/>
      </w:rPr>
      <w:t xml:space="preserve">GROWIFY DIGITAL — CANDIDATE ASSESSMENT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6B6B"/>
        <w:sz w:val="16"/>
        <w:szCs w:val="16"/>
      </w:rPr>
      <w:t xml:space="preserve">GROWIFY DIGITAL — CANDIDATE ASSESSMENT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6B6B"/>
        <w:sz w:val="16"/>
        <w:szCs w:val="16"/>
      </w:rPr>
      <w:t xml:space="preserve">GROWIFY DIGITAL — CANDIDATE ASSESSMENT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6B6B"/>
        <w:sz w:val="16"/>
        <w:szCs w:val="16"/>
      </w:rPr>
      <w:t xml:space="preserve">GROWIFY DIGITAL — CANDIDATE ASSESSMENT</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6B6B"/>
        <w:sz w:val="16"/>
        <w:szCs w:val="16"/>
      </w:rPr>
      <w:t xml:space="preserve">GROWIFY DIGITAL — CANDIDATE ASSESSMENT</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6B6B"/>
        <w:sz w:val="16"/>
        <w:szCs w:val="16"/>
      </w:rPr>
      <w:t xml:space="preserve">GROWIFY DIGITAL — CANDIDATE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2026-09-16T03:12:08.539Z</dcterms:created>
  <dcterms:modified xsi:type="dcterms:W3CDTF">2026-09-16T03:12:08.547Z</dcterms:modified>
</cp:coreProperties>
</file>

<file path=docProps/custom.xml><?xml version="1.0" encoding="utf-8"?>
<Properties xmlns="http://schemas.openxmlformats.org/officeDocument/2006/custom-properties" xmlns:vt="http://schemas.openxmlformats.org/officeDocument/2006/docPropsVTypes"/>
</file>