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Austin Hobbs</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Decision Matrix:</w:t>
      </w:r>
    </w:p>
    <w:p w:rsidR="00000000" w:rsidDel="00000000" w:rsidP="00000000" w:rsidRDefault="00000000" w:rsidRPr="00000000" w14:paraId="00000004">
      <w:pPr>
        <w:rPr>
          <w:sz w:val="24"/>
          <w:szCs w:val="24"/>
        </w:rPr>
      </w:pPr>
      <w:r w:rsidDel="00000000" w:rsidR="00000000" w:rsidRPr="00000000">
        <w:rPr>
          <w:sz w:val="24"/>
          <w:szCs w:val="24"/>
          <w:rtl w:val="0"/>
        </w:rPr>
        <w:t xml:space="preserve">A decision matrix which compares the concepts should be included and used to determine a best solution. A decision matrix lists the main project requirements as separate rows. Each column in the decision matrix represents one of the solution concepts. At each row/column intersection, a number is placed which represents how well the concept satisfies the requirement. The sum of the numbers in each column indicates how well the concept satisfies all requirements. Weighting can also be applied so that some requirements affect the total sum more heavily. A comparative“+/-“ technique can also be used rather than numbers to simplify the process.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