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pping-guidelines"/>
    <w:p>
      <w:pPr>
        <w:pStyle w:val="Heading1"/>
      </w:pPr>
      <w:r>
        <w:t xml:space="preserve">Mapping Guidelines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primary goal of the TDC project is to replace the existing Data Warehouse (DWH) with a Delta Lake hosted in the Databricks environment.</w:t>
      </w:r>
    </w:p>
    <w:p>
      <w:pPr>
        <w:pStyle w:val="BodyText"/>
      </w:pPr>
      <w:r>
        <w:t xml:space="preserve">The existing DWH is highly complex, so achieving this objective requires a pragmatic approach. Management has instructed that the DWH cannot be replaced in a single step. Instead, the migration will be completed in multiple stages.</w:t>
      </w:r>
    </w:p>
    <w:p>
      <w:pPr>
        <w:pStyle w:val="BodyText"/>
      </w:pPr>
      <w:r>
        <w:t xml:space="preserve">To support this phased transformation, all development artefacts produced within TDC should align with this staged implementation approach.</w:t>
      </w:r>
    </w:p>
    <w:p>
      <w:pPr>
        <w:pStyle w:val="BodyText"/>
      </w:pPr>
      <w:r>
        <w:t xml:space="preserve">This document provides guidelines for developing mapping artefacts that support the phased migration while ensuring they remain understandable to business users, data modellers, and developers.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cf60078e6c7dd074de3bd7bc89fa867906d318"/>
    <w:p>
      <w:pPr>
        <w:pStyle w:val="Heading1"/>
      </w:pPr>
      <w:r>
        <w:t xml:space="preserve">TDC Stage One – Build the Delta Lake with Source System and DWH Tables</w:t>
      </w:r>
    </w:p>
    <w:p>
      <w:pPr>
        <w:pStyle w:val="FirstParagraph"/>
      </w:pPr>
      <w:r>
        <w:t xml:space="preserve">During this stage, apply the following rules when mapping required attributes:</w:t>
      </w:r>
    </w:p>
    <w:p>
      <w:pPr>
        <w:numPr>
          <w:ilvl w:val="0"/>
          <w:numId w:val="1001"/>
        </w:numPr>
      </w:pPr>
      <w:r>
        <w:t xml:space="preserve">Map required attributes directly to source system tables and fields where no transformations are required and the data is accessed directly by reports, dashboards, or machine learning models.</w:t>
      </w:r>
    </w:p>
    <w:p>
      <w:pPr>
        <w:numPr>
          <w:ilvl w:val="0"/>
          <w:numId w:val="1001"/>
        </w:numPr>
      </w:pPr>
      <w:r>
        <w:t xml:space="preserve">Map required attributes directly to source system tables and fields when the transformation from the source table to the intermediary table is straightforward and can be described clearly.</w:t>
      </w:r>
    </w:p>
    <w:p>
      <w:pPr>
        <w:numPr>
          <w:ilvl w:val="0"/>
          <w:numId w:val="1001"/>
        </w:numPr>
      </w:pPr>
      <w:r>
        <w:t xml:space="preserve">Map required attributes to intermediary tables when the transformation logic is too complex to be described clearly or succinctly.</w:t>
      </w:r>
    </w:p>
    <w:p>
      <w:r>
        <w:pict>
          <v:rect style="width:0;height:1.5pt" o:hralign="center" o:hrstd="t" o:hr="t"/>
        </w:pict>
      </w:r>
    </w:p>
    <w:bookmarkEnd w:id="22"/>
    <w:bookmarkStart w:id="23" w:name="X8f4e04d6470416f305c558d16767a2c4455c1f7"/>
    <w:p>
      <w:pPr>
        <w:pStyle w:val="Heading1"/>
      </w:pPr>
      <w:r>
        <w:t xml:space="preserve">TDC Stage Two – Replace Intermediary Table References from the Delta Lake</w:t>
      </w:r>
    </w:p>
    <w:p>
      <w:pPr>
        <w:pStyle w:val="FirstParagraph"/>
      </w:pPr>
      <w:r>
        <w:t xml:space="preserve">During this stage, the complex transformation logic required to eliminate dependencies on intermediary tables will be implemented within the Delta Lake.</w:t>
      </w:r>
    </w:p>
    <w:p>
      <w:r>
        <w:pict>
          <v:rect style="width:0;height:1.5pt" o:hralign="center" o:hrstd="t" o:hr="t"/>
        </w:pict>
      </w:r>
    </w:p>
    <w:bookmarkEnd w:id="23"/>
    <w:bookmarkStart w:id="35" w:name="definitions"/>
    <w:p>
      <w:pPr>
        <w:pStyle w:val="Heading1"/>
      </w:pPr>
      <w:r>
        <w:t xml:space="preserve">Definitions</w:t>
      </w:r>
    </w:p>
    <w:bookmarkStart w:id="24" w:name="required-attributes"/>
    <w:p>
      <w:pPr>
        <w:pStyle w:val="Heading2"/>
      </w:pPr>
      <w:r>
        <w:t xml:space="preserve">Required Attributes</w:t>
      </w:r>
    </w:p>
    <w:p>
      <w:pPr>
        <w:pStyle w:val="FirstParagraph"/>
      </w:pPr>
      <w:r>
        <w:t xml:space="preserve">Required attributes are the data elements that Power BI reports, dashboards, or machine learning models currently source from DWH interface tables.</w:t>
      </w:r>
    </w:p>
    <w:p>
      <w:pPr>
        <w:pStyle w:val="BodyText"/>
      </w:pPr>
      <w:r>
        <w:t xml:space="preserve">These attributes are currently located within the following DWH schemas:</w:t>
      </w:r>
    </w:p>
    <w:p>
      <w:pPr>
        <w:pStyle w:val="Compact"/>
        <w:numPr>
          <w:ilvl w:val="0"/>
          <w:numId w:val="1002"/>
        </w:numPr>
      </w:pPr>
      <w:r>
        <w:t xml:space="preserve">Source tables (e.g. Swift, Insight)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msit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mstt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</w:t>
      </w:r>
    </w:p>
    <w:p>
      <w:r>
        <w:pict>
          <v:rect style="width:0;height:1.5pt" o:hralign="center" o:hrstd="t" o:hr="t"/>
        </w:pict>
      </w:r>
    </w:p>
    <w:bookmarkEnd w:id="24"/>
    <w:bookmarkStart w:id="25" w:name="description-purpose"/>
    <w:p>
      <w:pPr>
        <w:pStyle w:val="Heading2"/>
      </w:pPr>
      <w:r>
        <w:t xml:space="preserve">Description / Purpose</w:t>
      </w:r>
    </w:p>
    <w:p>
      <w:pPr>
        <w:pStyle w:val="FirstParagraph"/>
      </w:pPr>
      <w:r>
        <w:t xml:space="preserve">A description explaining the business purpose of the required attribute, particularly where its purpose is not obvious.</w:t>
      </w:r>
    </w:p>
    <w:p>
      <w:r>
        <w:pict>
          <v:rect style="width:0;height:1.5pt" o:hralign="center" o:hrstd="t" o:hr="t"/>
        </w:pict>
      </w:r>
    </w:p>
    <w:bookmarkEnd w:id="25"/>
    <w:bookmarkStart w:id="26" w:name="intermediary-tables"/>
    <w:p>
      <w:pPr>
        <w:pStyle w:val="Heading2"/>
      </w:pPr>
      <w:r>
        <w:t xml:space="preserve">Intermediary Tables</w:t>
      </w:r>
    </w:p>
    <w:p>
      <w:pPr>
        <w:pStyle w:val="FirstParagraph"/>
      </w:pPr>
      <w:r>
        <w:t xml:space="preserve">Physical tables or views that exist within the DWH database.</w:t>
      </w:r>
    </w:p>
    <w:p>
      <w:r>
        <w:pict>
          <v:rect style="width:0;height:1.5pt" o:hralign="center" o:hrstd="t" o:hr="t"/>
        </w:pict>
      </w:r>
    </w:p>
    <w:bookmarkEnd w:id="26"/>
    <w:bookmarkStart w:id="27" w:name="spreadsheet-variables"/>
    <w:p>
      <w:pPr>
        <w:pStyle w:val="Heading2"/>
      </w:pPr>
      <w:r>
        <w:t xml:space="preserve">Spreadsheet Variables</w:t>
      </w:r>
    </w:p>
    <w:p>
      <w:pPr>
        <w:pStyle w:val="FirstParagraph"/>
      </w:pPr>
      <w:r>
        <w:t xml:space="preserve">Variables that Power BI reports or dashboards access directly from Excel spreadsheets.</w:t>
      </w:r>
    </w:p>
    <w:p>
      <w:r>
        <w:pict>
          <v:rect style="width:0;height:1.5pt" o:hralign="center" o:hrstd="t" o:hr="t"/>
        </w:pict>
      </w:r>
    </w:p>
    <w:bookmarkEnd w:id="27"/>
    <w:bookmarkStart w:id="28" w:name="transformation"/>
    <w:p>
      <w:pPr>
        <w:pStyle w:val="Heading2"/>
      </w:pPr>
      <w:r>
        <w:t xml:space="preserve">Transformation</w:t>
      </w:r>
    </w:p>
    <w:p>
      <w:pPr>
        <w:pStyle w:val="FirstParagraph"/>
      </w:pPr>
      <w:r>
        <w:t xml:space="preserve">Transformations describe the changes applied to source data when it is materialised into intermediary tables (for example,</w:t>
      </w:r>
      <w:r>
        <w:t xml:space="preserve"> </w:t>
      </w:r>
      <w:r>
        <w:rPr>
          <w:rStyle w:val="VerbatimChar"/>
        </w:rPr>
        <w:t xml:space="preserve">mstt</w:t>
      </w:r>
      <w:r>
        <w:t xml:space="preserve">,</w:t>
      </w:r>
      <w:r>
        <w:t xml:space="preserve"> </w:t>
      </w:r>
      <w:r>
        <w:rPr>
          <w:rStyle w:val="VerbatimChar"/>
        </w:rPr>
        <w:t xml:space="preserve">mi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</w:t>
      </w:r>
      <w:r>
        <w:t xml:space="preserve">) or views (for example,</w:t>
      </w:r>
      <w:r>
        <w:t xml:space="preserve"> </w:t>
      </w:r>
      <w:r>
        <w:rPr>
          <w:rStyle w:val="VerbatimChar"/>
        </w:rPr>
        <w:t xml:space="preserve">msit</w:t>
      </w:r>
      <w:r>
        <w:t xml:space="preserve">).</w:t>
      </w:r>
    </w:p>
    <w:p>
      <w:pPr>
        <w:pStyle w:val="BodyText"/>
      </w:pPr>
      <w:r>
        <w:t xml:space="preserve">Any transformations performed within Power BI that are unrelated to the mapped entity should be excluded from the mapping documentation.</w:t>
      </w:r>
    </w:p>
    <w:p>
      <w:pPr>
        <w:pStyle w:val="BodyText"/>
      </w:pPr>
      <w:r>
        <w:t xml:space="preserve">If an analyst believes that a Power BI transformation should be migrated into the Delta Lake, this should only be done after consultation with the data modellers and developers.</w:t>
      </w:r>
    </w:p>
    <w:p>
      <w:pPr>
        <w:pStyle w:val="BodyText"/>
      </w:pPr>
      <w:r>
        <w:t xml:space="preserve">Transformation descriptions should be written in plain English and should not simply copy and paste SQL or code snippets.</w:t>
      </w:r>
    </w:p>
    <w:p>
      <w:pPr>
        <w:pStyle w:val="BodyText"/>
      </w:pPr>
      <w:r>
        <w:t xml:space="preserve">Where a code snippet helps explain the transformation, it may be included in the</w:t>
      </w:r>
      <w:r>
        <w:t xml:space="preserve"> </w:t>
      </w:r>
      <w:r>
        <w:rPr>
          <w:b/>
          <w:bCs/>
        </w:rPr>
        <w:t xml:space="preserve">Code Snippet</w:t>
      </w:r>
      <w:r>
        <w:t xml:space="preserve"> </w:t>
      </w:r>
      <w:r>
        <w:t xml:space="preserve">column, provided that it improves understanding and does not reduce the readability of the mapping artefact.</w:t>
      </w:r>
    </w:p>
    <w:p>
      <w:r>
        <w:pict>
          <v:rect style="width:0;height:1.5pt" o:hralign="center" o:hrstd="t" o:hr="t"/>
        </w:pict>
      </w:r>
    </w:p>
    <w:bookmarkEnd w:id="28"/>
    <w:bookmarkStart w:id="29" w:name="source-table"/>
    <w:p>
      <w:pPr>
        <w:pStyle w:val="Heading2"/>
      </w:pPr>
      <w:r>
        <w:t xml:space="preserve">Source Table</w:t>
      </w:r>
    </w:p>
    <w:p>
      <w:pPr>
        <w:pStyle w:val="FirstParagraph"/>
      </w:pPr>
      <w:r>
        <w:t xml:space="preserve">The DWH table, view, or Excel spreadsheet where the required attribute originates.</w:t>
      </w:r>
    </w:p>
    <w:p>
      <w:r>
        <w:pict>
          <v:rect style="width:0;height:1.5pt" o:hralign="center" o:hrstd="t" o:hr="t"/>
        </w:pict>
      </w:r>
    </w:p>
    <w:bookmarkEnd w:id="29"/>
    <w:bookmarkStart w:id="30" w:name="source-field"/>
    <w:p>
      <w:pPr>
        <w:pStyle w:val="Heading2"/>
      </w:pPr>
      <w:r>
        <w:t xml:space="preserve">Source Field</w:t>
      </w:r>
    </w:p>
    <w:p>
      <w:pPr>
        <w:pStyle w:val="FirstParagraph"/>
      </w:pPr>
      <w:r>
        <w:t xml:space="preserve">The field within the source table from which the required attribute is sourced.</w:t>
      </w:r>
    </w:p>
    <w:p>
      <w:r>
        <w:pict>
          <v:rect style="width:0;height:1.5pt" o:hralign="center" o:hrstd="t" o:hr="t"/>
        </w:pict>
      </w:r>
    </w:p>
    <w:bookmarkEnd w:id="30"/>
    <w:bookmarkStart w:id="31" w:name="direct-derived"/>
    <w:p>
      <w:pPr>
        <w:pStyle w:val="Heading2"/>
      </w:pPr>
      <w:r>
        <w:t xml:space="preserve">Direct / Derived</w:t>
      </w:r>
    </w:p>
    <w:p>
      <w:pPr>
        <w:pStyle w:val="FirstParagraph"/>
      </w:pPr>
      <w:r>
        <w:t xml:space="preserve">An indicator identifying whether the required attribute is obtained directly from the source field or whether it is derived through one or more transformations.</w:t>
      </w:r>
    </w:p>
    <w:p>
      <w:pPr>
        <w:pStyle w:val="BodyText"/>
      </w:pPr>
      <w:r>
        <w:t xml:space="preserve">Where an attribute is marked as</w:t>
      </w:r>
      <w:r>
        <w:t xml:space="preserve"> </w:t>
      </w:r>
      <w:r>
        <w:rPr>
          <w:b/>
          <w:bCs/>
        </w:rPr>
        <w:t xml:space="preserve">Derived</w:t>
      </w:r>
      <w:r>
        <w:t xml:space="preserve">, the corresponding transformation logic must always be documented.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03"/>
        </w:numPr>
      </w:pPr>
      <w:r>
        <w:t xml:space="preserve">Required attributes that can be derived using simple transformations from source tables, thereby avoiding dependency on intermediary tables.</w:t>
      </w:r>
    </w:p>
    <w:p>
      <w:pPr>
        <w:numPr>
          <w:ilvl w:val="0"/>
          <w:numId w:val="1003"/>
        </w:numPr>
      </w:pPr>
      <w:r>
        <w:t xml:space="preserve">Cases where there is agreement that an existing Power BI transformation should instead be implemented within the Delta Lake.</w:t>
      </w:r>
    </w:p>
    <w:p>
      <w:r>
        <w:pict>
          <v:rect style="width:0;height:1.5pt" o:hralign="center" o:hrstd="t" o:hr="t"/>
        </w:pict>
      </w:r>
    </w:p>
    <w:bookmarkEnd w:id="31"/>
    <w:bookmarkStart w:id="32" w:name="is-pbi-logic"/>
    <w:p>
      <w:pPr>
        <w:pStyle w:val="Heading2"/>
      </w:pPr>
      <w:r>
        <w:t xml:space="preserve">Is PBI Logic</w:t>
      </w:r>
    </w:p>
    <w:p>
      <w:pPr>
        <w:pStyle w:val="FirstParagraph"/>
      </w:pPr>
      <w:r>
        <w:t xml:space="preserve">An indicator showing whether the required attribute is derived using transformation logic currently implemented within a Power BI report.</w:t>
      </w:r>
    </w:p>
    <w:p>
      <w:r>
        <w:pict>
          <v:rect style="width:0;height:1.5pt" o:hralign="center" o:hrstd="t" o:hr="t"/>
        </w:pict>
      </w:r>
    </w:p>
    <w:bookmarkEnd w:id="32"/>
    <w:bookmarkStart w:id="33" w:name="business-comments"/>
    <w:p>
      <w:pPr>
        <w:pStyle w:val="Heading2"/>
      </w:pPr>
      <w:r>
        <w:t xml:space="preserve">Business Comments</w:t>
      </w:r>
    </w:p>
    <w:p>
      <w:pPr>
        <w:pStyle w:val="FirstParagraph"/>
      </w:pPr>
      <w:r>
        <w:t xml:space="preserve">Any business-related comments or contextual information that may assist data modelling or development.</w:t>
      </w:r>
    </w:p>
    <w:p>
      <w:r>
        <w:pict>
          <v:rect style="width:0;height:1.5pt" o:hralign="center" o:hrstd="t" o:hr="t"/>
        </w:pict>
      </w:r>
    </w:p>
    <w:bookmarkEnd w:id="33"/>
    <w:bookmarkStart w:id="34" w:name="code-snippets"/>
    <w:p>
      <w:pPr>
        <w:pStyle w:val="Heading2"/>
      </w:pPr>
      <w:r>
        <w:t xml:space="preserve">Code Snippets</w:t>
      </w:r>
    </w:p>
    <w:p>
      <w:pPr>
        <w:pStyle w:val="FirstParagraph"/>
      </w:pPr>
      <w:r>
        <w:t xml:space="preserve">Optional code examples that help explain or clarify the transformation logic where necessary.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