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System Description</w:t>
      </w:r>
    </w:p>
    <w:p>
      <w:pPr>
        <w:spacing w:after="400"/>
      </w:pPr>
      <w:r>
        <w:rPr>
          <w:color w:val="595959"/>
          <w:sz w:val="24"/>
          <w:szCs w:val="24"/>
        </w:rPr>
        <w:t xml:space="preserve">Description of [System Name] for the SOC 2 Type II examination (prepared in accordance with AICPA DC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SYS-001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 – shared with auditor and report users under NDA</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[Compliance Manager]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DC 200 description criteria; Security (CC1–CC9)</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template</w:t>
      </w:r>
    </w:p>
    <w:p>
      <w:pPr>
        <w:spacing w:after="120"/>
      </w:pPr>
      <w:r>
        <w:t xml:space="preserve">This is Section III of the SOC 2 report — management's description of the system. The service auditor evaluates it against the AICPA DC 200 description criteria, and it is published in the final report. Write it in the present tense, describe what </w:t>
      </w:r>
      <w:r>
        <w:rPr>
          <w:i/>
          <w:iCs/>
        </w:rPr>
        <w:t xml:space="preserve">actually</w:t>
      </w:r>
      <w:r>
        <w:t xml:space="preserve"> operates during the observation period, and avoid marketing language. Replace every highlighted placeholder. Delete this section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25"/>
        <w:gridCol w:w="2535"/>
      </w:tblGrid>
      <w:tr>
        <w:trPr>
          <w:cantSplit/>
          <w:tblHeader/>
        </w:trPr>
        <w:tc>
          <w:tcPr>
            <w:tcW w:type="dxa" w:w="68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DC 200 requirement</w:t>
            </w:r>
          </w:p>
        </w:tc>
        <w:tc>
          <w:tcPr>
            <w:tcW w:type="dxa" w:w="25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Section of this document</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1 – Types of services provided</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2 – Principal service commitments and system requirements</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2</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3 – Components of the system (infrastructure, software, people, procedures, data)</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3</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4 – System incidents (significant) during the period</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4</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5 – Applicable trust services criteria and related controls</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5</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6 – Complementary user entity controls</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6</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7 – Complementary subservice organization controls</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7</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8 – Criteria not applicable, and why</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8</w:t>
            </w:r>
          </w:p>
        </w:tc>
      </w:tr>
      <w:tr>
        <w:trPr>
          <w:cantSplit/>
          <w:tblHeader w:val="false"/>
        </w:trPr>
        <w:tc>
          <w:tcPr>
            <w:tcW w:type="dxa" w:w="68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DC 9 – Significant changes during the period</w:t>
            </w:r>
          </w:p>
        </w:tc>
        <w:tc>
          <w:tcPr>
            <w:tcW w:type="dxa" w:w="2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w:t>
            </w:r>
          </w:p>
        </w:tc>
      </w:tr>
    </w:tbl>
    <w:p>
      <w:pPr>
        <w:spacing w:after="80"/>
      </w:pPr>
    </w:p>
    <w:p>
      <w:pPr>
        <w:pStyle w:val="Heading1"/>
      </w:pPr>
      <w:r>
        <w:t xml:space="preserve">1. Company overview and services provided</w:t>
      </w:r>
    </w:p>
    <w:p>
      <w:pPr>
        <w:spacing w:after="120"/>
      </w:pPr>
      <w:r>
        <w:rPr>
          <w:highlight w:val="yellow"/>
          <w:highlightCs w:val="yellow"/>
        </w:rPr>
        <w:t xml:space="preserve">[Company Name]</w:t>
      </w:r>
      <w:r>
        <w:t xml:space="preserve"> ("the Company") was founded in </w:t>
      </w:r>
      <w:r>
        <w:rPr>
          <w:highlight w:val="yellow"/>
          <w:highlightCs w:val="yellow"/>
        </w:rPr>
        <w:t xml:space="preserve">[year]</w:t>
      </w:r>
      <w:r>
        <w:t xml:space="preserve"> and is headquartered in </w:t>
      </w:r>
      <w:r>
        <w:rPr>
          <w:highlight w:val="yellow"/>
          <w:highlightCs w:val="yellow"/>
        </w:rPr>
        <w:t xml:space="preserve">[city, country]</w:t>
      </w:r>
      <w:r>
        <w:t xml:space="preserve">. The Company provides </w:t>
      </w:r>
      <w:r>
        <w:rPr>
          <w:highlight w:val="yellow"/>
          <w:highlightCs w:val="yellow"/>
        </w:rPr>
        <w:t xml:space="preserve">[System Name]</w:t>
      </w:r>
      <w:r>
        <w:t xml:space="preserve">, a </w:t>
      </w:r>
      <w:r>
        <w:rPr>
          <w:highlight w:val="yellow"/>
          <w:highlightCs w:val="yellow"/>
        </w:rPr>
        <w:t xml:space="preserve">[one-sentence description of the service, e.g., "cloud-based platform that enables businesses to ..."]</w:t>
      </w:r>
      <w:r>
        <w:t xml:space="preserve"> to customers in </w:t>
      </w:r>
      <w:r>
        <w:rPr>
          <w:highlight w:val="yellow"/>
          <w:highlightCs w:val="yellow"/>
        </w:rPr>
        <w:t xml:space="preserve">[industries / regions]</w:t>
      </w:r>
      <w:r>
        <w:t xml:space="preserve">.</w:t>
      </w:r>
    </w:p>
    <w:p>
      <w:pPr>
        <w:pStyle w:val="Heading2"/>
      </w:pPr>
      <w:r>
        <w:t xml:space="preserve">1.1 System boundaries</w:t>
      </w:r>
    </w:p>
    <w:p>
      <w:pPr>
        <w:spacing w:after="120"/>
      </w:pPr>
      <w:r>
        <w:t xml:space="preserve">The system in scope comprises the production environment that delivers </w:t>
      </w:r>
      <w:r>
        <w:rPr>
          <w:highlight w:val="yellow"/>
          <w:highlightCs w:val="yellow"/>
        </w:rPr>
        <w:t xml:space="preserve">[System Name]</w:t>
      </w:r>
      <w:r>
        <w:t xml:space="preserve"> and the supporting subsystems used to develop, deploy, secure and operate it:</w:t>
      </w:r>
    </w:p>
    <w:p>
      <w:pPr>
        <w:pStyle w:val="ListParagraph"/>
        <w:numPr>
          <w:ilvl w:val="0"/>
          <w:numId w:val="2"/>
        </w:numPr>
        <w:spacing w:after="60"/>
      </w:pPr>
      <w:r>
        <w:t xml:space="preserve">Production application services and data stores hosted in </w:t>
      </w:r>
      <w:r>
        <w:rPr>
          <w:highlight w:val="yellow"/>
          <w:highlightCs w:val="yellow"/>
        </w:rPr>
        <w:t xml:space="preserve">[Cloud provider]</w:t>
      </w:r>
      <w:r>
        <w:t xml:space="preserve"> regions </w:t>
      </w:r>
      <w:r>
        <w:rPr>
          <w:highlight w:val="yellow"/>
          <w:highlightCs w:val="yellow"/>
        </w:rPr>
        <w:t xml:space="preserve">[regions]</w:t>
      </w:r>
      <w:r>
        <w:t xml:space="preserve">.</w:t>
      </w:r>
    </w:p>
    <w:p>
      <w:pPr>
        <w:pStyle w:val="ListParagraph"/>
        <w:numPr>
          <w:ilvl w:val="0"/>
          <w:numId w:val="2"/>
        </w:numPr>
        <w:spacing w:after="60"/>
      </w:pPr>
      <w:r>
        <w:t xml:space="preserve">The software delivery chain: source control, CI/CD pipeline, artifact registry and security scanning.</w:t>
      </w:r>
    </w:p>
    <w:p>
      <w:pPr>
        <w:pStyle w:val="ListParagraph"/>
        <w:numPr>
          <w:ilvl w:val="0"/>
          <w:numId w:val="2"/>
        </w:numPr>
        <w:spacing w:after="60"/>
      </w:pPr>
      <w:r>
        <w:t xml:space="preserve">The identity plane: identity provider, HRIS integration and endpoint management.</w:t>
      </w:r>
    </w:p>
    <w:p>
      <w:pPr>
        <w:pStyle w:val="ListParagraph"/>
        <w:numPr>
          <w:ilvl w:val="0"/>
          <w:numId w:val="2"/>
        </w:numPr>
        <w:spacing w:after="60"/>
      </w:pPr>
      <w:r>
        <w:t xml:space="preserve">The assurance plane: logging/SIEM, monitoring, on-call alerting, ticketing and evidence management.</w:t>
      </w:r>
    </w:p>
    <w:p>
      <w:pPr>
        <w:spacing w:after="120"/>
      </w:pPr>
      <w:r>
        <w:t xml:space="preserve">Excluded from the boundary: </w:t>
      </w:r>
      <w:r>
        <w:rPr>
          <w:highlight w:val="yellow"/>
          <w:highlightCs w:val="yellow"/>
        </w:rPr>
        <w:t xml:space="preserve">[e.g., corporate website, marketing systems, internal analytics that receive no customer data]</w:t>
      </w:r>
      <w:r>
        <w:t xml:space="preserve">.</w:t>
      </w:r>
    </w:p>
    <w:p>
      <w:pPr>
        <w:pStyle w:val="Heading1"/>
      </w:pPr>
      <w:r>
        <w:t xml:space="preserve">2. Principal service commitments and system requirements</w:t>
      </w:r>
    </w:p>
    <w:p>
      <w:pPr>
        <w:pStyle w:val="Heading2"/>
      </w:pPr>
      <w:r>
        <w:t xml:space="preserve">2.1 Service commitments</w:t>
      </w:r>
    </w:p>
    <w:p>
      <w:pPr>
        <w:spacing w:after="120"/>
      </w:pPr>
      <w:r>
        <w:t xml:space="preserve">Security commitments to customers are documented in the Master Subscription Agreement, Data Processing Agreement, Security Addendum and on the public trust page. They include:</w:t>
      </w:r>
    </w:p>
    <w:p>
      <w:pPr>
        <w:pStyle w:val="ListParagraph"/>
        <w:numPr>
          <w:ilvl w:val="0"/>
          <w:numId w:val="2"/>
        </w:numPr>
        <w:spacing w:after="60"/>
      </w:pPr>
      <w:r>
        <w:t xml:space="preserve">Protect customer data using encryption in transit (TLS 1.2+) and at rest (AES-256 or equivalent).</w:t>
      </w:r>
    </w:p>
    <w:p>
      <w:pPr>
        <w:pStyle w:val="ListParagraph"/>
        <w:numPr>
          <w:ilvl w:val="0"/>
          <w:numId w:val="2"/>
        </w:numPr>
        <w:spacing w:after="60"/>
      </w:pPr>
      <w:r>
        <w:t xml:space="preserve">Restrict access to customer data to authorized personnel with a business need, using SSO and MFA.</w:t>
      </w:r>
    </w:p>
    <w:p>
      <w:pPr>
        <w:pStyle w:val="ListParagraph"/>
        <w:numPr>
          <w:ilvl w:val="0"/>
          <w:numId w:val="2"/>
        </w:numPr>
        <w:spacing w:after="60"/>
      </w:pPr>
      <w:r>
        <w:t xml:space="preserve">Monitor the system for security events and respond to incidents in accordance with a documented incident response plan.</w:t>
      </w:r>
    </w:p>
    <w:p>
      <w:pPr>
        <w:pStyle w:val="ListParagraph"/>
        <w:numPr>
          <w:ilvl w:val="0"/>
          <w:numId w:val="2"/>
        </w:numPr>
        <w:spacing w:after="60"/>
      </w:pPr>
      <w:r>
        <w:t xml:space="preserve">Notify affected customers of a confirmed security breach involving their data within </w:t>
      </w:r>
      <w:r>
        <w:rPr>
          <w:highlight w:val="yellow"/>
          <w:highlightCs w:val="yellow"/>
        </w:rPr>
        <w:t xml:space="preserve">[72 hours / contractual timeframe]</w:t>
      </w:r>
      <w:r>
        <w:t xml:space="preserve">.</w:t>
      </w:r>
    </w:p>
    <w:p>
      <w:pPr>
        <w:pStyle w:val="ListParagraph"/>
        <w:numPr>
          <w:ilvl w:val="0"/>
          <w:numId w:val="2"/>
        </w:numPr>
        <w:spacing w:after="60"/>
      </w:pPr>
      <w:r>
        <w:t xml:space="preserve">Maintain backups and a tested disaster recovery capability.</w:t>
      </w:r>
    </w:p>
    <w:p>
      <w:pPr>
        <w:pStyle w:val="ListParagraph"/>
        <w:numPr>
          <w:ilvl w:val="0"/>
          <w:numId w:val="2"/>
        </w:numPr>
        <w:spacing w:after="60"/>
      </w:pPr>
      <w:r>
        <w:t xml:space="preserve">Assess vendors that process customer data.</w:t>
      </w:r>
    </w:p>
    <w:p>
      <w:pPr>
        <w:pStyle w:val="Heading2"/>
      </w:pPr>
      <w:r>
        <w:t xml:space="preserve">2.2 System requirements</w:t>
      </w:r>
    </w:p>
    <w:p>
      <w:pPr>
        <w:spacing w:after="120"/>
      </w:pPr>
      <w:r>
        <w:t xml:space="preserve">Operational requirements supporting these commitments are defined in the Company's policies (POL-01 to POL-11) and include: role-based access and least privilege; peer-reviewed, pipeline-based change management; vulnerability remediation SLAs; centralized logging with 12-month retention; annual risk assessment; annual security training; and annual policy review.</w:t>
      </w:r>
    </w:p>
    <w:p>
      <w:pPr>
        <w:pStyle w:val="Heading1"/>
      </w:pPr>
      <w:r>
        <w:t xml:space="preserve">3. Components of the system</w:t>
      </w:r>
    </w:p>
    <w:p>
      <w:pPr>
        <w:pStyle w:val="Heading2"/>
      </w:pPr>
      <w:r>
        <w:t xml:space="preserve">3.1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3"/>
        <w:gridCol w:w="4284"/>
        <w:gridCol w:w="2083"/>
      </w:tblGrid>
      <w:tr>
        <w:trPr>
          <w:cantSplit/>
          <w:tblHeader/>
        </w:trPr>
        <w:tc>
          <w:tcPr>
            <w:tcW w:type="dxa" w:w="29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Component</w:t>
            </w:r>
          </w:p>
        </w:tc>
        <w:tc>
          <w:tcPr>
            <w:tcW w:type="dxa" w:w="42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Purpose</w:t>
            </w:r>
          </w:p>
        </w:tc>
        <w:tc>
          <w:tcPr>
            <w:tcW w:type="dxa" w:w="20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Hosting / provider</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[Compute: e.g., managed Kubernetes clusters]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Runs application services</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[Cloud provider]</w:t>
            </w:r>
            <w:r>
              <w:rPr>
                <w:sz w:val="18"/>
                <w:szCs w:val="18"/>
              </w:rPr>
              <w:t xml:space="preserve">, </w:t>
            </w:r>
            <w:r>
              <w:rPr>
                <w:sz w:val="18"/>
                <w:szCs w:val="18"/>
                <w:highlight w:val="yellow"/>
                <w:highlightCs w:val="yellow"/>
              </w:rPr>
              <w:t xml:space="preserve">[region]</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[Database: e.g., managed PostgreSQL]</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Primary customer data store</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[Cloud provider]</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[Object storage]</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Files, backups, log archive</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[Cloud provider]</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[Load balancer / WAF / CDN]</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Ingress, TLS termination, filtering</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[Provider]</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[Secrets manager / KMS]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and encryption keys</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[Provider]</w:t>
            </w:r>
          </w:p>
        </w:tc>
      </w:tr>
      <w:tr>
        <w:trPr>
          <w:cantSplit/>
          <w:tblHeader w:val="false"/>
        </w:trPr>
        <w:tc>
          <w:tcPr>
            <w:tcW w:type="dxa" w:w="2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Separate accounts/projects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Production, staging, development, security/log archive, backup, shared services</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[Cloud provider]</w:t>
            </w:r>
          </w:p>
        </w:tc>
      </w:tr>
    </w:tbl>
    <w:p>
      <w:pPr>
        <w:spacing w:after="80"/>
      </w:pPr>
    </w:p>
    <w:p>
      <w:pPr>
        <w:pStyle w:val="Heading2"/>
      </w:pPr>
      <w:r>
        <w:t xml:space="preserve">3.2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1"/>
        <w:gridCol w:w="2765"/>
        <w:gridCol w:w="4474"/>
      </w:tblGrid>
      <w:tr>
        <w:trPr>
          <w:cantSplit/>
          <w:tblHeader/>
        </w:trPr>
        <w:tc>
          <w:tcPr>
            <w:tcW w:type="dxa" w:w="21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Subsystem</w:t>
            </w:r>
          </w:p>
        </w:tc>
        <w:tc>
          <w:tcPr>
            <w:tcW w:type="dxa" w:w="27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Tool</w:t>
            </w:r>
          </w:p>
        </w:tc>
        <w:tc>
          <w:tcPr>
            <w:tcW w:type="dxa" w:w="4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 in the system</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Identity Provider</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MFA, SCIM provisioning, device trust</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HRIS</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of truth for workforce; drives joiner/mover/leaver</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Source Control</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Enterprise Cloud</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Code, IaC and pipeline definitions; org rulesets enforce peer review and required checks; secret scanning and code scanning</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CI/CD</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Actions</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 test, scan, build-provenance attestation, and deploy via OIDC through a ServiceNow-gated production environment</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Artifact Registry</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Signed images/packages</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Infrastructure as Code</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Defines cloud infrastructure and IAM</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Scanning</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[Tools]</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SAST, SCA, secrets, image, CSPM</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Logging / SIEM</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Centralized audit logs, detection, retention</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Monitoring / On-call</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[Tools]</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Availability monitoring, paging</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Ticketing / ITSM</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(ITSM, DevOps Change Velocity)</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requests and approval gate for production deploys; access requests; incidents; vulnerabilities; risk exceptions</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Endpoint / MDM</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Device compliance and EDR</w:t>
            </w:r>
          </w:p>
        </w:tc>
      </w:tr>
      <w:tr>
        <w:trPr>
          <w:cantSplit/>
          <w:tblHeader w:val="false"/>
        </w:trPr>
        <w:tc>
          <w:tcPr>
            <w:tcW w:type="dxa" w:w="21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Evidence Store / GRC</w:t>
            </w:r>
          </w:p>
        </w:tc>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[Tool]</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Immutable control evidence</w:t>
            </w:r>
          </w:p>
        </w:tc>
      </w:tr>
    </w:tbl>
    <w:p>
      <w:pPr>
        <w:spacing w:after="80"/>
      </w:pPr>
    </w:p>
    <w:p>
      <w:pPr>
        <w:pStyle w:val="Heading2"/>
      </w:pPr>
      <w:r>
        <w:t xml:space="preserve">3.3 People</w:t>
      </w:r>
    </w:p>
    <w:p>
      <w:pPr>
        <w:spacing w:after="120"/>
      </w:pPr>
      <w:r>
        <w:t xml:space="preserve">The Company has </w:t>
      </w:r>
      <w:r>
        <w:rPr>
          <w:highlight w:val="yellow"/>
          <w:highlightCs w:val="yellow"/>
        </w:rPr>
        <w:t xml:space="preserve">[N]</w:t>
      </w:r>
      <w:r>
        <w:t xml:space="preserve"> employees and </w:t>
      </w:r>
      <w:r>
        <w:rPr>
          <w:highlight w:val="yellow"/>
          <w:highlightCs w:val="yellow"/>
        </w:rPr>
        <w:t xml:space="preserve">[N]</w:t>
      </w:r>
      <w:r>
        <w:t xml:space="preserve"> contractors. Security governance is led by the </w:t>
      </w:r>
      <w:r>
        <w:rPr>
          <w:highlight w:val="yellow"/>
          <w:highlightCs w:val="yellow"/>
        </w:rPr>
        <w:t xml:space="preserve">[CISO / Head of Security]</w:t>
      </w:r>
      <w:r>
        <w:t xml:space="preserve">, reporting to the </w:t>
      </w:r>
      <w:r>
        <w:rPr>
          <w:highlight w:val="yellow"/>
          <w:highlightCs w:val="yellow"/>
        </w:rPr>
        <w:t xml:space="preserve">[CEO / CTO]</w:t>
      </w:r>
      <w:r>
        <w:t xml:space="preserve">. Roles relevant to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0"/>
        <w:gridCol w:w="6590"/>
      </w:tblGrid>
      <w:tr>
        <w:trPr>
          <w:cantSplit/>
          <w:tblHeader/>
        </w:trPr>
        <w:tc>
          <w:tcPr>
            <w:tcW w:type="dxa" w:w="2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Function</w:t>
            </w:r>
          </w:p>
        </w:tc>
        <w:tc>
          <w:tcPr>
            <w:tcW w:type="dxa" w:w="6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Responsibilities</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Executive management</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Sets tone at the top; approves policies; oversees risk</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Board / oversight committee</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Independent oversight of security and risk (at least annually)</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program, detection and response, risk assessment, vendor reviews</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Platform Engineering / SRE</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infrastructure, CI/CD, IaC, availability, backups</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Software Engineering</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Develops and reviews code changes</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 / Identity</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endpoint management, access provisioning</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People (HR)</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Hiring, background checks, onboarding/offboarding, training records</w:t>
            </w:r>
          </w:p>
        </w:tc>
      </w:tr>
      <w:tr>
        <w:trPr>
          <w:cantSplit/>
          <w:tblHeader w:val="false"/>
        </w:trPr>
        <w:tc>
          <w:tcPr>
            <w:tcW w:type="dxa" w:w="2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Compliance</w:t>
            </w:r>
          </w:p>
        </w:tc>
        <w:tc>
          <w:tcPr>
            <w:tcW w:type="dxa" w:w="6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 monitoring, evidence, audit coordination</w:t>
            </w:r>
          </w:p>
        </w:tc>
      </w:tr>
    </w:tbl>
    <w:p>
      <w:pPr>
        <w:spacing w:after="80"/>
      </w:pPr>
    </w:p>
    <w:p>
      <w:pPr>
        <w:pStyle w:val="Heading2"/>
      </w:pPr>
      <w:r>
        <w:t xml:space="preserve">3.4 Procedures</w:t>
      </w:r>
    </w:p>
    <w:p>
      <w:pPr>
        <w:spacing w:after="120"/>
      </w:pPr>
      <w:r>
        <w:t xml:space="preserve">Automated and manual procedures supporting the system are described in the policy set and procedures: change management and deployment (PRC-01), user access management and review (PRC-02), evidence collection (PRC-03), incident response (PLN-01), and business continuity and disaster recovery (PLN-02). Key procedures are summarized below.</w:t>
      </w:r>
    </w:p>
    <w:p>
      <w:pPr>
        <w:spacing w:after="120"/>
      </w:pPr>
      <w:r>
        <w:rPr>
          <w:b/>
          <w:bCs/>
        </w:rPr>
        <w:t xml:space="preserve">Logical access.</w:t>
      </w:r>
      <w:r>
        <w:t xml:space="preserve"> Access is provisioned from HRIS events via the IdP and SCIM, based on approved requests and role-based groups. Terminated users are disabled within 24 hours. Access to in-scope systems is reviewed quarterly by system owners. Privileged production access is just-in-time and time-bound.</w:t>
      </w:r>
    </w:p>
    <w:p>
      <w:pPr>
        <w:spacing w:after="120"/>
      </w:pPr>
      <w:r>
        <w:rPr>
          <w:b/>
          <w:bCs/>
        </w:rPr>
        <w:t xml:space="preserve">Change management.</w:t>
      </w:r>
      <w:r>
        <w:t xml:space="preserve"> All changes to application code, infrastructure and pipeline configuration are made via pull requests in GitHub. An organization ruleset on in-scope repositories requires approval by a code owner other than the author and last pusher, plus passing automated tests and security scans (CodeQL, dependency review, secret push protection), and cannot be bypassed. Deployments to production are performed only by GitHub Actions jobs running in the protected </w:t>
      </w:r>
      <w:r>
        <w:rPr>
          <w:rFonts w:ascii="Consolas" w:cs="Consolas" w:eastAsia="Consolas" w:hAnsi="Consolas"/>
          <w:sz w:val="19"/>
          <w:szCs w:val="19"/>
        </w:rPr>
        <w:t xml:space="preserve">production</w:t>
      </w:r>
      <w:r>
        <w:t xml:space="preserve"> environment. There, a ServiceNow DevOps Change deployment gate creates a change request with the pull request, test and scan evidence attached. The change is approved by policy or by the change advisory board before the job can obtain short-lived cloud credentials via OIDC. Every deployment is recorded with its commit, approval, pipeline run, artifact attestation and ServiceNow change number.</w:t>
      </w:r>
    </w:p>
    <w:p>
      <w:pPr>
        <w:spacing w:after="120"/>
      </w:pPr>
      <w:r>
        <w:rPr>
          <w:b/>
          <w:bCs/>
        </w:rPr>
        <w:t xml:space="preserve">System operations.</w:t>
      </w:r>
      <w:r>
        <w:t xml:space="preserve"> Audit logs from all in-scope subsystems are centralized in the SIEM and retained for at least 12 months. Detection rules alert on high-risk events and route to on-call. Vulnerabilities are identified through continuous scanning and an annual penetration test, and remediated within defined SLAs.</w:t>
      </w:r>
    </w:p>
    <w:p>
      <w:pPr>
        <w:spacing w:after="120"/>
      </w:pPr>
      <w:r>
        <w:rPr>
          <w:b/>
          <w:bCs/>
        </w:rPr>
        <w:t xml:space="preserve">Incident response.</w:t>
      </w:r>
      <w:r>
        <w:t xml:space="preserve"> Security events are triaged and, when declared as incidents, managed under the incident response plan, including customer notification where required and post-incident review.</w:t>
      </w:r>
    </w:p>
    <w:p>
      <w:pPr>
        <w:spacing w:after="120"/>
      </w:pPr>
      <w:r>
        <w:rPr>
          <w:b/>
          <w:bCs/>
        </w:rPr>
        <w:t xml:space="preserve">Risk management and vendor management.</w:t>
      </w:r>
      <w:r>
        <w:t xml:space="preserve"> A risk assessment is performed annually and on significant change. Vendors are tiered, and critical vendors' SOC reports are reviewed annually.</w:t>
      </w:r>
    </w:p>
    <w:p>
      <w:pPr>
        <w:pStyle w:val="Heading2"/>
      </w:pPr>
      <w:r>
        <w:t xml:space="preserve">3.5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9"/>
        <w:gridCol w:w="1828"/>
        <w:gridCol w:w="1927"/>
        <w:gridCol w:w="3496"/>
      </w:tblGrid>
      <w:tr>
        <w:trPr>
          <w:cantSplit/>
          <w:tblHeader/>
        </w:trPr>
        <w:tc>
          <w:tcPr>
            <w:tcW w:type="dxa" w:w="21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Data type</w:t>
            </w:r>
          </w:p>
        </w:tc>
        <w:tc>
          <w:tcPr>
            <w:tcW w:type="dxa" w:w="18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Classification</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Where stored</w:t>
            </w:r>
          </w:p>
        </w:tc>
        <w:tc>
          <w:tcPr>
            <w:tcW w:type="dxa" w:w="34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Protection</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Customer content</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[Production data store]</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Encrypted at rest (KMS), TLS in transit, access via app RBAC and JIT</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Customer account data (PII)</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[Data store]</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As above</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Credentials, keys, secrets</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manager / KMS</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logged; rotation</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logs</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 immutable archive</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Object lock; 12-month retention</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Source code and IaC</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control</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MFA, branch rules</w:t>
            </w:r>
          </w:p>
        </w:tc>
      </w:tr>
      <w:tr>
        <w:trPr>
          <w:cantSplit/>
          <w:tblHeader w:val="false"/>
        </w:trPr>
        <w:tc>
          <w:tcPr>
            <w:tcW w:type="dxa" w:w="2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Backups</w:t>
            </w:r>
          </w:p>
        </w:tc>
        <w:tc>
          <w:tcPr>
            <w:tcW w:type="dxa" w:w="1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Isolated backup account</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Encrypted, immutable</w:t>
            </w:r>
          </w:p>
        </w:tc>
      </w:tr>
    </w:tbl>
    <w:p>
      <w:pPr>
        <w:spacing w:after="80"/>
      </w:pPr>
    </w:p>
    <w:p>
      <w:pPr>
        <w:spacing w:after="120"/>
      </w:pPr>
      <w:r>
        <w:t xml:space="preserve">Customer data is retained for the duration of the contract and deleted within </w:t>
      </w:r>
      <w:r>
        <w:rPr>
          <w:highlight w:val="yellow"/>
          <w:highlightCs w:val="yellow"/>
        </w:rPr>
        <w:t xml:space="preserve">[N]</w:t>
      </w:r>
      <w:r>
        <w:t xml:space="preserve"> days of termination, per the Data Classification, Encryption &amp; Retention Policy (POL-09).</w:t>
      </w:r>
    </w:p>
    <w:p>
      <w:pPr>
        <w:pStyle w:val="Heading1"/>
      </w:pPr>
      <w:r>
        <w:t xml:space="preserve">4. Significant system incidents</w:t>
      </w:r>
    </w:p>
    <w:p>
      <w:pPr>
        <w:spacing w:after="120"/>
      </w:pPr>
      <w:r>
        <w:t xml:space="preserve">[[Option A: "There were no system incidents during the period [start] to [end] that (a) were the result of controls that were not suitably designed or operating effectively, or (b) otherwise resulted in a significant failure in the achievement of one or more of the service commitments and system requirements."]]</w:t>
      </w:r>
    </w:p>
    <w:p>
      <w:pPr>
        <w:spacing w:after="120"/>
      </w:pPr>
      <w:r>
        <w:rPr>
          <w:highlight w:val="yellow"/>
          <w:highlightCs w:val="yellow"/>
        </w:rPr>
        <w:t xml:space="preserve">[Option B: Describe each significant incident: nature, timing, extent, and consequences; controls that failed; and remediation.]</w:t>
      </w:r>
    </w:p>
    <w:p>
      <w:pPr>
        <w:pStyle w:val="Heading1"/>
      </w:pPr>
      <w:r>
        <w:t xml:space="preserve">5. Applicable trust services criteria and related controls</w:t>
      </w:r>
    </w:p>
    <w:p>
      <w:pPr>
        <w:spacing w:after="120"/>
      </w:pPr>
      <w:r>
        <w:t xml:space="preserve">The applicable trust services category is </w:t>
      </w:r>
      <w:r>
        <w:rPr>
          <w:b/>
          <w:bCs/>
        </w:rPr>
        <w:t xml:space="preserve">Security</w:t>
      </w:r>
      <w:r>
        <w:t xml:space="preserve">. The Common Criteria (CC1–CC9) and the Company's controls that address them are listed in Section IV of the report (prepared by the service auditor from the Control Matrix, XLS-001). A summary by control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4"/>
        <w:gridCol w:w="1981"/>
        <w:gridCol w:w="4415"/>
      </w:tblGrid>
      <w:tr>
        <w:trPr>
          <w:cantSplit/>
          <w:tblHeader/>
        </w:trPr>
        <w:tc>
          <w:tcPr>
            <w:tcW w:type="dxa" w:w="29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Domain</w:t>
            </w:r>
          </w:p>
        </w:tc>
        <w:tc>
          <w:tcPr>
            <w:tcW w:type="dxa" w:w="19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44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Criteria addressed</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Governance</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GOV-01 – GOV-08</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CC1, CC2, CC3.4, CC4, CC5.1, CC5.3</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Human Resources</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HR-01 – HR-05</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CC1.1, CC1.3–CC1.5, CC2.2</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Risk Management</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RSK-01 – RSK-04</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CC3, CC5.1, CC9.1</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Vendor Management</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VEN-01 – VEN-03</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CC2.3, CC9.2</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Identity &amp; Access</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 IAM-09</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CC6.1–CC6.3, CC7.2</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Change Management</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 CHG-12</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CC8.1, CC5.2, CC6.1, CC6.8, CC7.1</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Infrastructure</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INF-01 – INF-11</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CC6.4–CC6.8, CC7.1</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Vulnerability Management</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 VUL-03</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CC6.8, CC7.1, CC4.1</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Logging &amp; Monitoring</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 MON-06</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CC4, CC5.2, CC7.2, CC7.3, CC9.1</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Incident Response</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IR-01 – IR-04</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CC2.3, CC4.2, CC7.3–CC7.5</w:t>
            </w:r>
          </w:p>
        </w:tc>
      </w:tr>
      <w:tr>
        <w:trPr>
          <w:cantSplit/>
          <w:tblHeader w:val="false"/>
        </w:trPr>
        <w:tc>
          <w:tcPr>
            <w:tcW w:type="dxa" w:w="29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Business Continuity</w:t>
            </w: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BCP-01 – BCP-04</w:t>
            </w:r>
          </w:p>
        </w:tc>
        <w:tc>
          <w:tcPr>
            <w:tcW w:type="dxa" w:w="4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CC7.5, CC9.1</w:t>
            </w:r>
          </w:p>
        </w:tc>
      </w:tr>
    </w:tbl>
    <w:p>
      <w:pPr>
        <w:spacing w:after="80"/>
      </w:pPr>
    </w:p>
    <w:p>
      <w:pPr>
        <w:pStyle w:val="Heading2"/>
      </w:pPr>
      <w:r>
        <w:t xml:space="preserve">5.1 Control environment (CC1)</w:t>
      </w:r>
    </w:p>
    <w:p>
      <w:pPr>
        <w:spacing w:after="120"/>
      </w:pPr>
      <w:r>
        <w:rPr>
          <w:highlight w:val="yellow"/>
          <w:highlightCs w:val="yellow"/>
        </w:rPr>
        <w:t xml:space="preserve">[Describe integrity and ethical values (code of conduct, acknowledgments), board oversight, organizational structure, competence (hiring, background checks, training), and accountability (performance reviews, sanctions).]</w:t>
      </w:r>
    </w:p>
    <w:p>
      <w:pPr>
        <w:pStyle w:val="Heading2"/>
      </w:pPr>
      <w:r>
        <w:t xml:space="preserve">5.2 Communication and information (CC2)</w:t>
      </w:r>
    </w:p>
    <w:p>
      <w:pPr>
        <w:spacing w:after="120"/>
      </w:pPr>
      <w:r>
        <w:rPr>
          <w:highlight w:val="yellow"/>
          <w:highlightCs w:val="yellow"/>
        </w:rPr>
        <w:t xml:space="preserve">[Describe internal communication of policies and responsibilities (policy portal, onboarding, training, steering meetings), and external communication (contracts, trust page, status page, incident notifications, reporting channel).]</w:t>
      </w:r>
    </w:p>
    <w:p>
      <w:pPr>
        <w:pStyle w:val="Heading2"/>
      </w:pPr>
      <w:r>
        <w:t xml:space="preserve">5.3 Risk assessment (CC3)</w:t>
      </w:r>
    </w:p>
    <w:p>
      <w:pPr>
        <w:spacing w:after="120"/>
      </w:pPr>
      <w:r>
        <w:rPr>
          <w:highlight w:val="yellow"/>
          <w:highlightCs w:val="yellow"/>
        </w:rPr>
        <w:t xml:space="preserve">[Describe the annual risk assessment methodology, including fraud risk, change-driven reviews, and how risks are scored and treated.]</w:t>
      </w:r>
    </w:p>
    <w:p>
      <w:pPr>
        <w:pStyle w:val="Heading2"/>
      </w:pPr>
      <w:r>
        <w:t xml:space="preserve">5.4 Monitoring activities (CC4)</w:t>
      </w:r>
    </w:p>
    <w:p>
      <w:pPr>
        <w:spacing w:after="120"/>
      </w:pPr>
      <w:r>
        <w:rPr>
          <w:highlight w:val="yellow"/>
          <w:highlightCs w:val="yellow"/>
        </w:rPr>
        <w:t xml:space="preserve">[Describe continuous control monitoring, quarterly control owner attestations, internal assessment, penetration testing, and how deficiencies are communicated and tracked.]</w:t>
      </w:r>
    </w:p>
    <w:p>
      <w:pPr>
        <w:pStyle w:val="Heading2"/>
      </w:pPr>
      <w:r>
        <w:t xml:space="preserve">5.5 Control activities (CC5–CC9)</w:t>
      </w:r>
    </w:p>
    <w:p>
      <w:pPr>
        <w:spacing w:after="120"/>
      </w:pPr>
      <w:r>
        <w:rPr>
          <w:highlight w:val="yellow"/>
          <w:highlightCs w:val="yellow"/>
        </w:rPr>
        <w:t xml:space="preserve">[Summarize logical access, change management, system operations, risk mitigation and vendor management, referencing Section 3.4.]</w:t>
      </w:r>
    </w:p>
    <w:p>
      <w:pPr>
        <w:pStyle w:val="Heading1"/>
      </w:pPr>
      <w:r>
        <w:t xml:space="preserve">6. Complementary user entity controls (CUECs)</w:t>
      </w:r>
    </w:p>
    <w:p>
      <w:pPr>
        <w:spacing w:after="120"/>
      </w:pPr>
      <w:r>
        <w:t xml:space="preserve">The Company's controls were designed with the assumption that user entities (customers) implement the following controls. User entities should evaluate whether these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2"/>
        <w:gridCol w:w="6645"/>
        <w:gridCol w:w="1783"/>
      </w:tblGrid>
      <w:tr>
        <w:trPr>
          <w:cantSplit/>
          <w:tblHeader/>
        </w:trPr>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66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Complementary user entity control</w:t>
            </w:r>
          </w:p>
        </w:tc>
        <w:tc>
          <w:tcPr>
            <w:tcW w:type="dxa" w:w="17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Related criteria</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CUEC-1</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entities are responsible for provisioning, reviewing and removing their own users' access to </w:t>
            </w:r>
            <w:r>
              <w:rPr>
                <w:sz w:val="18"/>
                <w:szCs w:val="18"/>
                <w:highlight w:val="yellow"/>
                <w:highlightCs w:val="yellow"/>
              </w:rPr>
              <w:t xml:space="preserve">[System Name]</w:t>
            </w:r>
            <w:r>
              <w:rPr>
                <w:sz w:val="18"/>
                <w:szCs w:val="18"/>
              </w:rPr>
              <w:t xml:space="preserve">.</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CC6.2, CC6.3</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CUEC-2</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entities are responsible for enabling SSO/MFA for their tenant where supported.</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CUEC-3</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entities are responsible for protecting API keys and credentials issued to them.</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CUEC-4</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entities are responsible for notifying the Company promptly of suspected unauthorized access or security incidents.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CC7.3, CC2.3</w:t>
            </w:r>
          </w:p>
        </w:tc>
      </w:tr>
      <w:tr>
        <w:trPr>
          <w:cantSplit/>
          <w:tblHeader w:val="false"/>
        </w:trPr>
        <w:tc>
          <w:tcPr>
            <w:tcW w:type="dxa" w:w="9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CUEC-5</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entities are responsible for ensuring data submitted is appropriate and lawfully obtained.</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CC2.3</w:t>
            </w:r>
          </w:p>
        </w:tc>
      </w:tr>
    </w:tbl>
    <w:p>
      <w:pPr>
        <w:spacing w:after="80"/>
      </w:pPr>
    </w:p>
    <w:p>
      <w:pPr>
        <w:pStyle w:val="Heading1"/>
      </w:pPr>
      <w:r>
        <w:t xml:space="preserve">7. Complementary subservice organization controls (CSOCs)</w:t>
      </w:r>
    </w:p>
    <w:p>
      <w:pPr>
        <w:spacing w:after="120"/>
      </w:pPr>
      <w:r>
        <w:t xml:space="preserve">The Company uses the following subservice organizations. Their controls are excluded from this description (carve-out method). The Company monitors them through annual review of their SOC reports (VEN-02).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6"/>
        <w:gridCol w:w="3038"/>
        <w:gridCol w:w="3125"/>
        <w:gridCol w:w="1381"/>
      </w:tblGrid>
      <w:tr>
        <w:trPr>
          <w:cantSplit/>
          <w:tblHeader/>
        </w:trPr>
        <w:tc>
          <w:tcPr>
            <w:tcW w:type="dxa" w:w="18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Subservice organization</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Services</w:t>
            </w:r>
          </w:p>
        </w:tc>
        <w:tc>
          <w:tcPr>
            <w:tcW w:type="dxa" w:w="31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Expected controls (CSOCs)</w:t>
            </w:r>
          </w:p>
        </w:tc>
        <w:tc>
          <w:tcPr>
            <w:tcW w:type="dxa" w:w="13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Related criteria</w:t>
            </w:r>
          </w:p>
        </w:tc>
      </w:tr>
      <w:tr>
        <w:trPr>
          <w:cantSplit/>
          <w:tblHeader w:val="false"/>
        </w:trPr>
        <w:tc>
          <w:tcPr>
            <w:tcW w:type="dxa" w:w="18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[Cloud provider]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Hosting infrastructure</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Physical and environmental security of data centers; secure disposal of storage media; logical security of underlying infrastructure and hypervisors</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CC6.4, CC6.5, CC7.2</w:t>
            </w:r>
          </w:p>
        </w:tc>
      </w:tr>
      <w:tr>
        <w:trPr>
          <w:cantSplit/>
          <w:tblHeader w:val="false"/>
        </w:trPr>
        <w:tc>
          <w:tcPr>
            <w:tcW w:type="dxa" w:w="18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[IdP vendor]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 services</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Secure operation and availability of the identity platform; change management over the platform</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CC8.1</w:t>
            </w:r>
          </w:p>
        </w:tc>
      </w:tr>
      <w:tr>
        <w:trPr>
          <w:cantSplit/>
          <w:tblHeader w:val="false"/>
        </w:trPr>
        <w:tc>
          <w:tcPr>
            <w:tcW w:type="dxa" w:w="18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GitHub, Inc.</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control and CI (GitHub Enterprise Cloud, GitHub Actions hosted runners)</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of the hosted GitHub platform and GitHub-hosted runner infrastructure; integrity of audit log and OIDC token issuance</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CC8.1</w:t>
            </w:r>
          </w:p>
        </w:tc>
      </w:tr>
      <w:tr>
        <w:trPr>
          <w:cantSplit/>
          <w:tblHeader w:val="false"/>
        </w:trPr>
        <w:tc>
          <w:tcPr>
            <w:tcW w:type="dxa" w:w="18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ServiceNow, Inc.</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ITSM and change management platform</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availability and change management of the ServiceNow platform and hosting</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CC7.2, CC8.1</w:t>
            </w:r>
          </w:p>
        </w:tc>
      </w:tr>
      <w:tr>
        <w:trPr>
          <w:cantSplit/>
          <w:tblHeader w:val="false"/>
        </w:trPr>
        <w:tc>
          <w:tcPr>
            <w:tcW w:type="dxa" w:w="18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[SIEM vendor]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management</w:t>
            </w:r>
          </w:p>
        </w:tc>
        <w:tc>
          <w:tcPr>
            <w:tcW w:type="dxa" w:w="3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Integrity and availability of stored logs</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CC7.2</w:t>
            </w:r>
          </w:p>
        </w:tc>
      </w:tr>
    </w:tbl>
    <w:p>
      <w:pPr>
        <w:spacing w:after="80"/>
      </w:pPr>
    </w:p>
    <w:p>
      <w:pPr>
        <w:pStyle w:val="Heading1"/>
      </w:pPr>
      <w:r>
        <w:t xml:space="preserve">8. Criteria not applicable</w:t>
      </w:r>
    </w:p>
    <w:p>
      <w:pPr>
        <w:spacing w:after="120"/>
      </w:pPr>
      <w:r>
        <w:rPr>
          <w:highlight w:val="yellow"/>
          <w:highlightCs w:val="yellow"/>
        </w:rPr>
        <w:t xml:space="preserve">[Example: CC6.4 is addressed partly by the Company (office access) and partly by the cloud provider (data centers). The Company does not operate data centers. If no criteria are not applicable, state: "All Common Criteria are applicable to the system."]</w:t>
      </w:r>
    </w:p>
    <w:p>
      <w:pPr>
        <w:pStyle w:val="Heading1"/>
      </w:pPr>
      <w:r>
        <w:t xml:space="preserve">9. Significant changes during the period</w:t>
      </w:r>
    </w:p>
    <w:p>
      <w:pPr>
        <w:spacing w:after="120"/>
      </w:pPr>
      <w:r>
        <w:t xml:space="preserve">[[Example: "During the period, the Company migrated its CI/CD platform from X to Y on [date]. Controls over change management were in place for both platforms during their respective periods of use." Or: "There were no significant changes to the system during the period."]]</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SYS-001  System Description</w:t>
    </w:r>
    <w:r>
      <w:rPr>
        <w:color w:val="595959"/>
        <w:sz w:val="16"/>
        <w:szCs w:val="16"/>
      </w:rPr>
      <w:t xml:space="preserve">	Confidential – shared with auditor and report users under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Description</dc:title>
  <dc:creator>SOC 2 Audit Package</dc:creator>
  <dc:description>Description of [System Name] for the SOC 2 Type II examination (prepared in accordance with AICPA DC 200)</dc:description>
  <cp:lastModifiedBy>Un-named</cp:lastModifiedBy>
  <cp:revision>1</cp:revision>
  <dcterms:created xsi:type="dcterms:W3CDTF">2026-09-24T21:55:38.093Z</dcterms:created>
  <dcterms:modified xsi:type="dcterms:W3CDTF">2026-09-24T21:55:38.093Z</dcterms:modified>
</cp:coreProperties>
</file>

<file path=docProps/custom.xml><?xml version="1.0" encoding="utf-8"?>
<Properties xmlns="http://schemas.openxmlformats.org/officeDocument/2006/custom-properties" xmlns:vt="http://schemas.openxmlformats.org/officeDocument/2006/docPropsVTypes"/>
</file>