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Information Security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POL-01</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CISO / Security Lead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CEO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CC1.1–CC1.3, CC2.1–CC2.3, CC4.1, CC4.2, CC5.3</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Purpose</w:t>
      </w:r>
    </w:p>
    <w:p>
      <w:pPr>
        <w:spacing w:after="120"/>
      </w:pPr>
      <w:r>
        <w:t xml:space="preserve">Establish the Company's information security program, management's commitment to it, and the framework of subordinate policies that protect the confidentiality, integrity and availability of Company and customer information.</w:t>
      </w:r>
    </w:p>
    <w:p>
      <w:pPr>
        <w:pStyle w:val="Heading1"/>
      </w:pPr>
      <w:r>
        <w:t xml:space="preserve">2. Scope</w:t>
      </w:r>
    </w:p>
    <w:p>
      <w:pPr>
        <w:spacing w:after="120"/>
      </w:pPr>
      <w:r>
        <w:t xml:space="preserve">This policy applies to all employees, contractors and third parties with access to </w:t>
      </w:r>
      <w:r>
        <w:rPr>
          <w:highlight w:val="yellow"/>
          <w:highlightCs w:val="yellow"/>
        </w:rPr>
        <w:t xml:space="preserve">[Company Name]</w:t>
      </w:r>
      <w:r>
        <w:t xml:space="preserve"> information systems, and to all systems within the SOC 2 system boundary described in the System Description (SYS-001), including the subsystems listed in the Integration Design (DES-001).</w:t>
      </w:r>
    </w:p>
    <w:p>
      <w:pPr>
        <w:pStyle w:val="Heading1"/>
      </w:pPr>
      <w: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6"/>
        <w:gridCol w:w="6594"/>
      </w:tblGrid>
      <w:tr>
        <w:trPr>
          <w:cantSplit/>
          <w:tblHeader/>
        </w:trPr>
        <w:tc>
          <w:tcPr>
            <w:tcW w:type="dxa" w:w="276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659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Responsibility</w:t>
            </w:r>
          </w:p>
        </w:tc>
      </w:tr>
      <w:tr>
        <w:trPr>
          <w:cantSplit/>
          <w:tblHeader w:val="false"/>
        </w:trPr>
        <w:tc>
          <w:tcPr>
            <w:tcW w:type="dxa" w:w="27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Board / oversight committee</w:t>
            </w:r>
          </w:p>
        </w:tc>
        <w:tc>
          <w:tcPr>
            <w:tcW w:type="dxa" w:w="6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Oversees the security program and risk at least annually.</w:t>
            </w:r>
          </w:p>
        </w:tc>
      </w:tr>
      <w:tr>
        <w:trPr>
          <w:cantSplit/>
          <w:tblHeader w:val="false"/>
        </w:trPr>
        <w:tc>
          <w:tcPr>
            <w:tcW w:type="dxa" w:w="27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CEO</w:t>
            </w:r>
          </w:p>
        </w:tc>
        <w:tc>
          <w:tcPr>
            <w:tcW w:type="dxa" w:w="6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Approves this policy; sets tone at the top; provides resources.</w:t>
            </w:r>
          </w:p>
        </w:tc>
      </w:tr>
      <w:tr>
        <w:trPr>
          <w:cantSplit/>
          <w:tblHeader w:val="false"/>
        </w:trPr>
        <w:tc>
          <w:tcPr>
            <w:tcW w:type="dxa" w:w="27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CISO / Security Lead</w:t>
            </w:r>
          </w:p>
        </w:tc>
        <w:tc>
          <w:tcPr>
            <w:tcW w:type="dxa" w:w="6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Owns the security program, policy set, risk assessment and security reporting.</w:t>
            </w:r>
          </w:p>
        </w:tc>
      </w:tr>
      <w:tr>
        <w:trPr>
          <w:cantSplit/>
          <w:tblHeader w:val="false"/>
        </w:trPr>
        <w:tc>
          <w:tcPr>
            <w:tcW w:type="dxa" w:w="27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Compliance Manager</w:t>
            </w:r>
          </w:p>
        </w:tc>
        <w:tc>
          <w:tcPr>
            <w:tcW w:type="dxa" w:w="6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Maintains the control framework, evidence and audit coordination.</w:t>
            </w:r>
          </w:p>
        </w:tc>
      </w:tr>
      <w:tr>
        <w:trPr>
          <w:cantSplit/>
          <w:tblHeader w:val="false"/>
        </w:trPr>
        <w:tc>
          <w:tcPr>
            <w:tcW w:type="dxa" w:w="27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Managers</w:t>
            </w:r>
          </w:p>
        </w:tc>
        <w:tc>
          <w:tcPr>
            <w:tcW w:type="dxa" w:w="6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Ensure their teams follow policies; approve access for their reports.</w:t>
            </w:r>
          </w:p>
        </w:tc>
      </w:tr>
      <w:tr>
        <w:trPr>
          <w:cantSplit/>
          <w:tblHeader w:val="false"/>
        </w:trPr>
        <w:tc>
          <w:tcPr>
            <w:tcW w:type="dxa" w:w="27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All personnel</w:t>
            </w:r>
          </w:p>
        </w:tc>
        <w:tc>
          <w:tcPr>
            <w:tcW w:type="dxa" w:w="6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Comply with policies; complete training; report incidents and concerns.</w:t>
            </w:r>
          </w:p>
        </w:tc>
      </w:tr>
    </w:tbl>
    <w:p>
      <w:pPr>
        <w:spacing w:after="80"/>
      </w:pPr>
    </w:p>
    <w:p>
      <w:pPr>
        <w:pStyle w:val="Heading1"/>
      </w:pPr>
      <w:r>
        <w:t xml:space="preserve">4. Policy</w:t>
      </w:r>
    </w:p>
    <w:p>
      <w:pPr>
        <w:pStyle w:val="Heading2"/>
      </w:pPr>
      <w:r>
        <w:t xml:space="preserve">4.1 Security program</w:t>
      </w:r>
    </w:p>
    <w:p>
      <w:pPr>
        <w:pStyle w:val="ListParagraph"/>
        <w:numPr>
          <w:ilvl w:val="0"/>
          <w:numId w:val="2"/>
        </w:numPr>
        <w:spacing w:after="60"/>
      </w:pPr>
      <w:r>
        <w:t xml:space="preserve">The Company maintains an information security program aligned to the AICPA Trust Services Criteria (Security) and industry good practice.</w:t>
      </w:r>
    </w:p>
    <w:p>
      <w:pPr>
        <w:pStyle w:val="ListParagraph"/>
        <w:numPr>
          <w:ilvl w:val="0"/>
          <w:numId w:val="2"/>
        </w:numPr>
        <w:spacing w:after="60"/>
      </w:pPr>
      <w:r>
        <w:t xml:space="preserve">Security objectives are defined annually, approved by executive management, and aligned with customer commitments (see the System Description).</w:t>
      </w:r>
    </w:p>
    <w:p>
      <w:pPr>
        <w:pStyle w:val="ListParagraph"/>
        <w:numPr>
          <w:ilvl w:val="0"/>
          <w:numId w:val="2"/>
        </w:numPr>
        <w:spacing w:after="60"/>
      </w:pPr>
      <w:r>
        <w:t xml:space="preserve">A security steering group (CISO, CTO or Engineering lead, Platform lead, IT lead, Compliance) meets at least quarterly to review metrics, risks, control health and audit status. Minutes and actions are recorded.</w:t>
      </w:r>
    </w:p>
    <w:p>
      <w:pPr>
        <w:pStyle w:val="ListParagraph"/>
        <w:numPr>
          <w:ilvl w:val="0"/>
          <w:numId w:val="2"/>
        </w:numPr>
        <w:spacing w:after="60"/>
      </w:pPr>
      <w:r>
        <w:t xml:space="preserve">The Board or an oversight committee independent of management receives a security update at least annually.</w:t>
      </w:r>
    </w:p>
    <w:p>
      <w:pPr>
        <w:pStyle w:val="Heading2"/>
      </w:pPr>
      <w:r>
        <w:t xml:space="preserve">4.2 Policy framework</w:t>
      </w:r>
    </w:p>
    <w:p>
      <w:pPr>
        <w:spacing w:after="120"/>
      </w:pPr>
      <w:r>
        <w:t xml:space="preserve">The following policies are subordinate to this policy and carry the same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2"/>
        <w:gridCol w:w="8428"/>
      </w:tblGrid>
      <w:tr>
        <w:trPr>
          <w:cantSplit/>
          <w:tblHeader/>
        </w:trPr>
        <w:tc>
          <w:tcPr>
            <w:tcW w:type="dxa" w:w="9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84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Policy</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POL-02</w:t>
            </w:r>
          </w:p>
        </w:tc>
        <w:tc>
          <w:tcPr>
            <w:tcW w:type="dxa" w:w="8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Access Control Policy</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POL-03</w:t>
            </w:r>
          </w:p>
        </w:tc>
        <w:tc>
          <w:tcPr>
            <w:tcW w:type="dxa" w:w="8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Change Management &amp; Secure SDLC Policy</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POL-04</w:t>
            </w:r>
          </w:p>
        </w:tc>
        <w:tc>
          <w:tcPr>
            <w:tcW w:type="dxa" w:w="8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Logging, Monitoring &amp; Vulnerability Management Policy</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POL-05</w:t>
            </w:r>
          </w:p>
        </w:tc>
        <w:tc>
          <w:tcPr>
            <w:tcW w:type="dxa" w:w="8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Incident Response Policy</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POL-06</w:t>
            </w:r>
          </w:p>
        </w:tc>
        <w:tc>
          <w:tcPr>
            <w:tcW w:type="dxa" w:w="8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Risk Management Policy</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POL-07</w:t>
            </w:r>
          </w:p>
        </w:tc>
        <w:tc>
          <w:tcPr>
            <w:tcW w:type="dxa" w:w="8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Vendor Management Policy</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POL-08</w:t>
            </w:r>
          </w:p>
        </w:tc>
        <w:tc>
          <w:tcPr>
            <w:tcW w:type="dxa" w:w="8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Business Continuity &amp; Disaster Recovery Policy</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POL-09</w:t>
            </w:r>
          </w:p>
        </w:tc>
        <w:tc>
          <w:tcPr>
            <w:tcW w:type="dxa" w:w="8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Data Classification, Encryption &amp; Retention Policy</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POL-10</w:t>
            </w:r>
          </w:p>
        </w:tc>
        <w:tc>
          <w:tcPr>
            <w:tcW w:type="dxa" w:w="8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Human Resources Security &amp; Acceptable Use Policy</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POL-11</w:t>
            </w:r>
          </w:p>
        </w:tc>
        <w:tc>
          <w:tcPr>
            <w:tcW w:type="dxa" w:w="8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Asset &amp; Configuration Management Policy</w:t>
            </w:r>
          </w:p>
        </w:tc>
      </w:tr>
    </w:tbl>
    <w:p>
      <w:pPr>
        <w:spacing w:after="80"/>
      </w:pPr>
    </w:p>
    <w:p>
      <w:pPr>
        <w:pStyle w:val="Heading2"/>
      </w:pPr>
      <w:r>
        <w:t xml:space="preserve">4.3 Policy management</w:t>
      </w:r>
    </w:p>
    <w:p>
      <w:pPr>
        <w:pStyle w:val="ListParagraph"/>
        <w:numPr>
          <w:ilvl w:val="0"/>
          <w:numId w:val="3"/>
        </w:numPr>
        <w:spacing w:after="60"/>
      </w:pPr>
      <w:r>
        <w:t xml:space="preserve">Policies are stored in version control; changes are made via reviewed pull requests, producing an auditable history.</w:t>
      </w:r>
    </w:p>
    <w:p>
      <w:pPr>
        <w:pStyle w:val="ListParagraph"/>
        <w:numPr>
          <w:ilvl w:val="0"/>
          <w:numId w:val="3"/>
        </w:numPr>
        <w:spacing w:after="60"/>
      </w:pPr>
      <w:r>
        <w:t xml:space="preserve">Policies are reviewed at least annually and upon significant change, and approved by the policy owner and the CEO or delegate.</w:t>
      </w:r>
    </w:p>
    <w:p>
      <w:pPr>
        <w:pStyle w:val="ListParagraph"/>
        <w:numPr>
          <w:ilvl w:val="0"/>
          <w:numId w:val="3"/>
        </w:numPr>
        <w:spacing w:after="60"/>
      </w:pPr>
      <w:r>
        <w:t xml:space="preserve">Approved policies are published on the internal policy portal and acknowledged by personnel at hire and annually.</w:t>
      </w:r>
    </w:p>
    <w:p>
      <w:pPr>
        <w:pStyle w:val="Heading2"/>
      </w:pPr>
      <w:r>
        <w:t xml:space="preserve">4.4 Monitoring of the program</w:t>
      </w:r>
    </w:p>
    <w:p>
      <w:pPr>
        <w:pStyle w:val="ListParagraph"/>
        <w:numPr>
          <w:ilvl w:val="0"/>
          <w:numId w:val="4"/>
        </w:numPr>
        <w:spacing w:after="60"/>
      </w:pPr>
      <w:r>
        <w:t xml:space="preserve">Control owners attest quarterly that their controls operated as designed.</w:t>
      </w:r>
    </w:p>
    <w:p>
      <w:pPr>
        <w:pStyle w:val="ListParagraph"/>
        <w:numPr>
          <w:ilvl w:val="0"/>
          <w:numId w:val="4"/>
        </w:numPr>
        <w:spacing w:after="60"/>
      </w:pPr>
      <w:r>
        <w:t xml:space="preserve">Automated control checks run continuously; failures are ticketed to control owners.</w:t>
      </w:r>
    </w:p>
    <w:p>
      <w:pPr>
        <w:pStyle w:val="ListParagraph"/>
        <w:numPr>
          <w:ilvl w:val="0"/>
          <w:numId w:val="4"/>
        </w:numPr>
        <w:spacing w:after="60"/>
      </w:pPr>
      <w:r>
        <w:t xml:space="preserve">Control deficiencies are reported to the steering group and tracked to remediation; significant deficiencies are reported to the Board.</w:t>
      </w:r>
    </w:p>
    <w:p>
      <w:pPr>
        <w:pStyle w:val="Heading2"/>
      </w:pPr>
      <w:r>
        <w:t xml:space="preserve">4.5 Reporting concerns</w:t>
      </w:r>
    </w:p>
    <w:p>
      <w:pPr>
        <w:spacing w:after="120"/>
      </w:pPr>
      <w:r>
        <w:t xml:space="preserve">Personnel and external parties may report security concerns, suspected fraud or ethics violations through </w:t>
      </w:r>
      <w:r>
        <w:rPr>
          <w:highlight w:val="yellow"/>
          <w:highlightCs w:val="yellow"/>
        </w:rPr>
        <w:t xml:space="preserve">[reporting channel, e.g., security@ / anonymous hotline]</w:t>
      </w:r>
      <w:r>
        <w:t xml:space="preserve">. Retaliation against good-faith reporters is prohibited.</w:t>
      </w:r>
    </w:p>
    <w:p>
      <w:pPr>
        <w:pStyle w:val="Heading1"/>
      </w:pPr>
      <w:r>
        <w:t xml:space="preserve">5. Exceptions</w:t>
      </w:r>
    </w:p>
    <w:p>
      <w:pPr>
        <w:spacing w:after="120"/>
      </w:pPr>
      <w:r>
        <w:t xml:space="preserve">Exceptions to this policy require a documented risk exception ticket stating the business justification, the risk, compensating controls and an expiry date (maximum 12 months), approved by the policy owner and the CISO. Exceptions are tracked in the risk register and reviewed at the quarterly steering meeting.</w:t>
      </w:r>
    </w:p>
    <w:p>
      <w:pPr>
        <w:pStyle w:val="Heading1"/>
      </w:pPr>
      <w:r>
        <w:t xml:space="preserve">6. Enforcement</w:t>
      </w:r>
    </w:p>
    <w:p>
      <w:pPr>
        <w:spacing w:after="120"/>
      </w:pPr>
      <w:r>
        <w:t xml:space="preserve">Violations of this policy may result in disciplinary action up to and including termination of employment or contract, and may be reported to authorities where required by law.</w:t>
      </w:r>
    </w:p>
    <w:p>
      <w:pPr>
        <w:pStyle w:val="Heading1"/>
      </w:pPr>
      <w:r>
        <w:t xml:space="preserve">7. Controls implementing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GOV-01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Security policies approved and published.</w:t>
            </w:r>
            <w:r>
              <w:rPr>
                <w:sz w:val="18"/>
                <w:szCs w:val="18"/>
              </w:rPr>
              <w:t xml:space="preserve"> Information security policies are reviewed at least annually, approved by executive management, version-controlled, and published to all personnel.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Policy set with version history and approval record; publication location screenshot</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GOV-02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Board / oversight committee security review.</w:t>
            </w:r>
            <w:r>
              <w:rPr>
                <w:sz w:val="18"/>
                <w:szCs w:val="18"/>
              </w:rPr>
              <w:t xml:space="preserve"> The Board (or an oversight committee independent of management) receives a security and compliance update at least annually, including risk assessment results and control deficiencies.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Board / committee meeting minutes and presentation deck</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GOV-03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Organization chart and security roles defined.</w:t>
            </w:r>
            <w:r>
              <w:rPr>
                <w:sz w:val="18"/>
                <w:szCs w:val="18"/>
              </w:rPr>
              <w:t xml:space="preserve"> An organization chart and a RACI of security and compliance responsibilities are maintained and reviewed annually.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Org chart export; RACI document with review date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GOV-04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Security and compliance steering meeting.</w:t>
            </w:r>
            <w:r>
              <w:rPr>
                <w:sz w:val="18"/>
                <w:szCs w:val="18"/>
              </w:rPr>
              <w:t xml:space="preserve"> A security steering group meets at least quarterly to review metrics, open risks, audit status and control failures; actions are tracked to closure.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Quarterly</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Meeting agendas, minutes and action tracker</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GOV-05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Internal control self-assessment.</w:t>
            </w:r>
            <w:r>
              <w:rPr>
                <w:sz w:val="18"/>
                <w:szCs w:val="18"/>
              </w:rPr>
              <w:t xml:space="preserve"> Control owners attest quarterly that their controls operated; the compliance function performs an annual internal assessment and tracks deficiencies to remediation.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Quarterly</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Quarterly attestations; internal assessment report; deficiency tickets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GOV-06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External communication of commitments.</w:t>
            </w:r>
            <w:r>
              <w:rPr>
                <w:sz w:val="18"/>
                <w:szCs w:val="18"/>
              </w:rPr>
              <w:t xml:space="preserve"> Security commitments, system changes affecting customers, and incident notifications are communicated through contracts, the trust/status page and customer notices.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Ongoing</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MSA/DPA templates; status page history; customer notices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GOV-07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Whistleblower / reporting channel.</w:t>
            </w:r>
            <w:r>
              <w:rPr>
                <w:sz w:val="18"/>
                <w:szCs w:val="18"/>
              </w:rPr>
              <w:t xml:space="preserve"> An anonymous channel exists for personnel and external parties to report security concerns, fraud or ethics violations; reports are triaged and tracked.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Ongoing</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Channel description in handbook; report log (redacted)</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GOV-08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System description and boundaries maintained.</w:t>
            </w:r>
            <w:r>
              <w:rPr>
                <w:sz w:val="18"/>
                <w:szCs w:val="18"/>
              </w:rPr>
              <w:t xml:space="preserve"> The in-scope system description, data-flow diagrams and subsystem inventory are reviewed and updated at least annually and upon significant change.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Dated system description; architecture diagrams; integration inventory</w:t>
            </w:r>
          </w:p>
        </w:tc>
      </w:tr>
    </w:tbl>
    <w:p>
      <w:pPr>
        <w:pStyle w:val="Heading1"/>
      </w:pPr>
      <w:r>
        <w:t xml:space="preserve">8. Related documents</w:t>
      </w:r>
    </w:p>
    <w:p>
      <w:pPr>
        <w:pStyle w:val="ListParagraph"/>
        <w:numPr>
          <w:ilvl w:val="0"/>
          <w:numId w:val="5"/>
        </w:numPr>
        <w:spacing w:after="60"/>
      </w:pPr>
      <w:r>
        <w:t xml:space="preserve">POL-01 Information Security Policy</w:t>
      </w:r>
    </w:p>
    <w:p>
      <w:pPr>
        <w:pStyle w:val="ListParagraph"/>
        <w:numPr>
          <w:ilvl w:val="0"/>
          <w:numId w:val="5"/>
        </w:numPr>
        <w:spacing w:after="60"/>
      </w:pPr>
      <w:r>
        <w:t xml:space="preserve">DES-001 Subsystem Integration Design for SOC 2 Compliance</w:t>
      </w:r>
    </w:p>
    <w:p>
      <w:pPr>
        <w:pStyle w:val="ListParagraph"/>
        <w:numPr>
          <w:ilvl w:val="0"/>
          <w:numId w:val="5"/>
        </w:numPr>
        <w:spacing w:after="60"/>
      </w:pPr>
      <w:r>
        <w:t xml:space="preserve">XLS-001 SOC 2 Control Matrix &amp; Evidence Tracker</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POL-01  Information Security Policy</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creator>SOC 2 Audit Package</dc:creator>
  <cp:lastModifiedBy>Un-named</cp:lastModifiedBy>
  <cp:revision>1</cp:revision>
  <dcterms:created xsi:type="dcterms:W3CDTF">2026-09-24T21:55:38.184Z</dcterms:created>
  <dcterms:modified xsi:type="dcterms:W3CDTF">2026-09-24T21:55:38.184Z</dcterms:modified>
</cp:coreProperties>
</file>

<file path=docProps/custom.xml><?xml version="1.0" encoding="utf-8"?>
<Properties xmlns="http://schemas.openxmlformats.org/officeDocument/2006/custom-properties" xmlns:vt="http://schemas.openxmlformats.org/officeDocument/2006/docPropsVTypes"/>
</file>