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color w:val="595959"/>
          <w:sz w:val="24"/>
          <w:szCs w:val="24"/>
          <w:highlight w:val="yellow"/>
          <w:highlightCs w:val="yellow"/>
        </w:rPr>
        <w:t xml:space="preserve">[Company Name]</w:t>
      </w:r>
    </w:p>
    <w:p>
      <w:pPr>
        <w:pBdr>
          <w:bottom w:val="single" w:color="1F3864" w:sz="12" w:space="8"/>
        </w:pBdr>
        <w:spacing w:after="120" w:before="200"/>
      </w:pPr>
      <w:r>
        <w:rPr>
          <w:b/>
          <w:bCs/>
          <w:color w:val="1F3864"/>
          <w:sz w:val="48"/>
          <w:szCs w:val="48"/>
        </w:rPr>
        <w:t xml:space="preserve">Logging, Monitoring &amp; Vulnerability Management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Field</w:t>
            </w:r>
          </w:p>
        </w:tc>
        <w:tc>
          <w:tcPr>
            <w:tcW w:type="dxa" w:w="67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Value</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Document ID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POL-04</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Version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1.0</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Classification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Internal</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Document owner</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Security Operations</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Approved by</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CISO</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Effective date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[YYYY-MM-DD]</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Review cycle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Annually, or upon significant change</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SOC 2 criteria</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CC4.1, CC6.8, CC7.1, CC7.2, CC7.3</w:t>
            </w:r>
          </w:p>
        </w:tc>
      </w:tr>
    </w:tbl>
    <w:p>
      <w:pPr>
        <w:spacing w:after="120" w:before="360"/>
      </w:pPr>
      <w:r>
        <w:rPr>
          <w:b/>
          <w:bCs/>
          <w:color w:val="1F3864"/>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800"/>
        <w:gridCol w:w="3260"/>
        <w:gridCol w:w="1800"/>
      </w:tblGrid>
      <w:tr>
        <w:trPr>
          <w:cantSplit/>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Version</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Date</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Author</w:t>
            </w:r>
          </w:p>
        </w:tc>
        <w:tc>
          <w:tcPr>
            <w:tcW w:type="dxa" w:w="32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Summary of changes</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Approver</w:t>
            </w:r>
          </w:p>
        </w:tc>
      </w:tr>
      <w:tr>
        <w:trPr>
          <w:cantSplit/>
          <w:tblHeader w:val="false"/>
        </w:trP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1.0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[YYYY-MM-DD]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[Name]</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Initial release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[Name]</w:t>
            </w:r>
          </w:p>
        </w:tc>
      </w:tr>
      <w:tr>
        <w:trPr>
          <w:cantSplit/>
          <w:tblHeader w:val="false"/>
        </w:trP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bl>
    <w:p>
      <w:r>
        <w:br w:type="page"/>
      </w:r>
    </w:p>
    <w:p>
      <w:pPr>
        <w:pStyle w:val="Heading1"/>
      </w:pPr>
      <w:r>
        <w:t xml:space="preserve">1. Purpose</w:t>
      </w:r>
    </w:p>
    <w:p>
      <w:pPr>
        <w:spacing w:after="120"/>
      </w:pPr>
      <w:r>
        <w:t xml:space="preserve">Ensure security-relevant events are recorded, protected and monitored so that anomalies are detected and evaluated, and that vulnerabilities are identified and remediated in a timely manner.</w:t>
      </w:r>
    </w:p>
    <w:p>
      <w:pPr>
        <w:pStyle w:val="Heading1"/>
      </w:pPr>
      <w:r>
        <w:t xml:space="preserve">2. Scope</w:t>
      </w:r>
    </w:p>
    <w:p>
      <w:pPr>
        <w:spacing w:after="120"/>
      </w:pPr>
      <w:r>
        <w:t xml:space="preserve">This policy applies to all employees, contractors and third parties with access to </w:t>
      </w:r>
      <w:r>
        <w:rPr>
          <w:highlight w:val="yellow"/>
          <w:highlightCs w:val="yellow"/>
        </w:rPr>
        <w:t xml:space="preserve">[Company Name]</w:t>
      </w:r>
      <w:r>
        <w:t xml:space="preserve"> information systems, and to all systems within the SOC 2 system boundary described in the System Description (SYS-001), including the subsystems listed in the Integration Design (DES-001).</w:t>
      </w:r>
    </w:p>
    <w:p>
      <w:pPr>
        <w:pStyle w:val="Heading1"/>
      </w:pPr>
      <w:r>
        <w:t xml:space="preserve">3.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78"/>
        <w:gridCol w:w="7182"/>
      </w:tblGrid>
      <w:tr>
        <w:trPr>
          <w:cantSplit/>
          <w:tblHeader/>
        </w:trPr>
        <w:tc>
          <w:tcPr>
            <w:tcW w:type="dxa" w:w="217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Role</w:t>
            </w:r>
          </w:p>
        </w:tc>
        <w:tc>
          <w:tcPr>
            <w:tcW w:type="dxa" w:w="718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Responsibility</w:t>
            </w:r>
          </w:p>
        </w:tc>
      </w:tr>
      <w:tr>
        <w:trPr>
          <w:cantSplit/>
          <w:tblHeader w:val="false"/>
        </w:trPr>
        <w:tc>
          <w:tcPr>
            <w:tcW w:type="dxa" w:w="217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Security Operations</w:t>
            </w:r>
          </w:p>
        </w:tc>
        <w:tc>
          <w:tcPr>
            <w:tcW w:type="dxa" w:w="7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Owns SIEM, log sources, detections and alert triage.</w:t>
            </w:r>
          </w:p>
        </w:tc>
      </w:tr>
      <w:tr>
        <w:trPr>
          <w:cantSplit/>
          <w:tblHeader w:val="false"/>
        </w:trPr>
        <w:tc>
          <w:tcPr>
            <w:tcW w:type="dxa" w:w="217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SRE</w:t>
            </w:r>
          </w:p>
        </w:tc>
        <w:tc>
          <w:tcPr>
            <w:tcW w:type="dxa" w:w="7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Owns availability monitoring and on-call.</w:t>
            </w:r>
          </w:p>
        </w:tc>
      </w:tr>
      <w:tr>
        <w:trPr>
          <w:cantSplit/>
          <w:tblHeader w:val="false"/>
        </w:trPr>
        <w:tc>
          <w:tcPr>
            <w:tcW w:type="dxa" w:w="217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AppSec</w:t>
            </w:r>
          </w:p>
        </w:tc>
        <w:tc>
          <w:tcPr>
            <w:tcW w:type="dxa" w:w="7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Owns vulnerability scanning, pen tests and remediation SLA tracking.</w:t>
            </w:r>
          </w:p>
        </w:tc>
      </w:tr>
      <w:tr>
        <w:trPr>
          <w:cantSplit/>
          <w:tblHeader w:val="false"/>
        </w:trPr>
        <w:tc>
          <w:tcPr>
            <w:tcW w:type="dxa" w:w="217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System owners</w:t>
            </w:r>
          </w:p>
        </w:tc>
        <w:tc>
          <w:tcPr>
            <w:tcW w:type="dxa" w:w="7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Remediate findings on their systems within SLA.</w:t>
            </w:r>
          </w:p>
        </w:tc>
      </w:tr>
    </w:tbl>
    <w:p>
      <w:pPr>
        <w:spacing w:after="80"/>
      </w:pPr>
    </w:p>
    <w:p>
      <w:pPr>
        <w:pStyle w:val="Heading1"/>
      </w:pPr>
      <w:r>
        <w:t xml:space="preserve">4. Policy</w:t>
      </w:r>
    </w:p>
    <w:p>
      <w:pPr>
        <w:pStyle w:val="Heading2"/>
      </w:pPr>
      <w:r>
        <w:t xml:space="preserve">4.1 Logging</w:t>
      </w:r>
    </w:p>
    <w:p>
      <w:pPr>
        <w:pStyle w:val="ListParagraph"/>
        <w:numPr>
          <w:ilvl w:val="0"/>
          <w:numId w:val="2"/>
        </w:numPr>
        <w:spacing w:after="60"/>
      </w:pPr>
      <w:r>
        <w:t xml:space="preserve">The following are logged and forwarded to the SIEM: IdP authentication and admin events; source control audit events; CI/CD workflow and deployment events; cloud control-plane activity (all accounts, all regions); Kubernetes API audit; secrets and key access; endpoint security events; ticketing admin events.</w:t>
      </w:r>
    </w:p>
    <w:p>
      <w:pPr>
        <w:pStyle w:val="ListParagraph"/>
        <w:numPr>
          <w:ilvl w:val="0"/>
          <w:numId w:val="2"/>
        </w:numPr>
        <w:spacing w:after="60"/>
      </w:pPr>
      <w:r>
        <w:t xml:space="preserve">Logs include at minimum: timestamp (UTC, synchronized time source), actor, action, target, source IP/device, and outcome.</w:t>
      </w:r>
    </w:p>
    <w:p>
      <w:pPr>
        <w:pStyle w:val="ListParagraph"/>
        <w:numPr>
          <w:ilvl w:val="0"/>
          <w:numId w:val="2"/>
        </w:numPr>
        <w:spacing w:after="60"/>
      </w:pPr>
      <w:r>
        <w:t xml:space="preserve">Logs are retained for at least 12 months (at least 90 days immediately searchable) in storage that prevents modification or deletion (object lock / WORM).</w:t>
      </w:r>
    </w:p>
    <w:p>
      <w:pPr>
        <w:pStyle w:val="ListParagraph"/>
        <w:numPr>
          <w:ilvl w:val="0"/>
          <w:numId w:val="2"/>
        </w:numPr>
        <w:spacing w:after="60"/>
      </w:pPr>
      <w:r>
        <w:t xml:space="preserve">Access to logs is restricted to Security and authorized engineers; the log archive account is separate from production.</w:t>
      </w:r>
    </w:p>
    <w:p>
      <w:pPr>
        <w:pStyle w:val="ListParagraph"/>
        <w:numPr>
          <w:ilvl w:val="0"/>
          <w:numId w:val="2"/>
        </w:numPr>
        <w:spacing w:after="60"/>
      </w:pPr>
      <w:r>
        <w:t xml:space="preserve">Log source health is monitored; any source silent for more than one hour generates an alert.</w:t>
      </w:r>
    </w:p>
    <w:p>
      <w:pPr>
        <w:pStyle w:val="Heading2"/>
      </w:pPr>
      <w:r>
        <w:t xml:space="preserve">4.2 Monitoring and alerting</w:t>
      </w:r>
    </w:p>
    <w:p>
      <w:pPr>
        <w:pStyle w:val="ListParagraph"/>
        <w:numPr>
          <w:ilvl w:val="0"/>
          <w:numId w:val="3"/>
        </w:numPr>
        <w:spacing w:after="60"/>
      </w:pPr>
      <w:r>
        <w:t xml:space="preserve">Detection rules are maintained as code and cover, at minimum, the detection catalog in DES-001 Section 6.7.</w:t>
      </w:r>
    </w:p>
    <w:p>
      <w:pPr>
        <w:pStyle w:val="ListParagraph"/>
        <w:numPr>
          <w:ilvl w:val="0"/>
          <w:numId w:val="3"/>
        </w:numPr>
        <w:spacing w:after="60"/>
      </w:pPr>
      <w:r>
        <w:t xml:space="preserve">Alerts are routed to on-call with defined severities. Triage outcomes are recorded in tickets within these SLAs: Critical — acknowledge in 15 minutes; High — 1 hour; Medium — 1 business day; Low — 5 business days.</w:t>
      </w:r>
    </w:p>
    <w:p>
      <w:pPr>
        <w:pStyle w:val="ListParagraph"/>
        <w:numPr>
          <w:ilvl w:val="0"/>
          <w:numId w:val="3"/>
        </w:numPr>
        <w:spacing w:after="60"/>
      </w:pPr>
      <w:r>
        <w:t xml:space="preserve">Availability, error rate and latency of production services are monitored with alerting to on-call.</w:t>
      </w:r>
    </w:p>
    <w:p>
      <w:pPr>
        <w:pStyle w:val="ListParagraph"/>
        <w:numPr>
          <w:ilvl w:val="0"/>
          <w:numId w:val="3"/>
        </w:numPr>
        <w:spacing w:after="60"/>
      </w:pPr>
      <w:r>
        <w:t xml:space="preserve">Automated checks monitor key control configurations continuously; failures are ticketed to control owners.</w:t>
      </w:r>
    </w:p>
    <w:p>
      <w:pPr>
        <w:pStyle w:val="Heading2"/>
      </w:pPr>
      <w:r>
        <w:t xml:space="preserve">4.3 Vulnerability management</w:t>
      </w:r>
    </w:p>
    <w:p>
      <w:pPr>
        <w:pStyle w:val="ListParagraph"/>
        <w:numPr>
          <w:ilvl w:val="0"/>
          <w:numId w:val="4"/>
        </w:numPr>
        <w:spacing w:after="60"/>
      </w:pPr>
      <w:r>
        <w:t xml:space="preserve">Scanning: dependencies and code on every pull request; container images on build and continuously; cloud configuration continuously (CSPM); external endpoints at least weekly.</w:t>
      </w:r>
    </w:p>
    <w:p>
      <w:pPr>
        <w:pStyle w:val="ListParagraph"/>
        <w:numPr>
          <w:ilvl w:val="0"/>
          <w:numId w:val="4"/>
        </w:numPr>
        <w:spacing w:after="60"/>
      </w:pPr>
      <w:r>
        <w:t xml:space="preserve">An independent penetration test is performed at least annually and after major architectural changes.</w:t>
      </w:r>
    </w:p>
    <w:p>
      <w:pPr>
        <w:pStyle w:val="ListParagraph"/>
        <w:numPr>
          <w:ilvl w:val="0"/>
          <w:numId w:val="4"/>
        </w:numPr>
        <w:spacing w:after="60"/>
      </w:pPr>
      <w:r>
        <w:t xml:space="preserve">Remediation SLAs from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33"/>
        <w:gridCol w:w="5827"/>
      </w:tblGrid>
      <w:tr>
        <w:trPr>
          <w:cantSplit/>
          <w:tblHeader/>
        </w:trPr>
        <w:tc>
          <w:tcPr>
            <w:tcW w:type="dxa" w:w="353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Severity</w:t>
            </w:r>
          </w:p>
        </w:tc>
        <w:tc>
          <w:tcPr>
            <w:tcW w:type="dxa" w:w="58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SLA</w:t>
            </w:r>
          </w:p>
        </w:tc>
      </w:tr>
      <w:tr>
        <w:trPr>
          <w:cantSplit/>
          <w:tblHeader w:val="false"/>
        </w:trPr>
        <w:tc>
          <w:tcPr>
            <w:tcW w:type="dxa" w:w="353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Critical (CVSS 9.0–10)</w:t>
            </w:r>
          </w:p>
        </w:tc>
        <w:tc>
          <w:tcPr>
            <w:tcW w:type="dxa" w:w="5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7 days</w:t>
            </w:r>
          </w:p>
        </w:tc>
      </w:tr>
      <w:tr>
        <w:trPr>
          <w:cantSplit/>
          <w:tblHeader w:val="false"/>
        </w:trPr>
        <w:tc>
          <w:tcPr>
            <w:tcW w:type="dxa" w:w="353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High (7.0–8.9)</w:t>
            </w:r>
          </w:p>
        </w:tc>
        <w:tc>
          <w:tcPr>
            <w:tcW w:type="dxa" w:w="5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30 days</w:t>
            </w:r>
          </w:p>
        </w:tc>
      </w:tr>
      <w:tr>
        <w:trPr>
          <w:cantSplit/>
          <w:tblHeader w:val="false"/>
        </w:trPr>
        <w:tc>
          <w:tcPr>
            <w:tcW w:type="dxa" w:w="353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Medium (4.0–6.9)</w:t>
            </w:r>
          </w:p>
        </w:tc>
        <w:tc>
          <w:tcPr>
            <w:tcW w:type="dxa" w:w="5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90 days</w:t>
            </w:r>
          </w:p>
        </w:tc>
      </w:tr>
      <w:tr>
        <w:trPr>
          <w:cantSplit/>
          <w:tblHeader w:val="false"/>
        </w:trPr>
        <w:tc>
          <w:tcPr>
            <w:tcW w:type="dxa" w:w="353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Low (&lt; 4.0)</w:t>
            </w:r>
          </w:p>
        </w:tc>
        <w:tc>
          <w:tcPr>
            <w:tcW w:type="dxa" w:w="5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Best effort / next planned update</w:t>
            </w:r>
          </w:p>
        </w:tc>
      </w:tr>
    </w:tbl>
    <w:p>
      <w:pPr>
        <w:spacing w:after="80"/>
      </w:pPr>
    </w:p>
    <w:p>
      <w:pPr>
        <w:pStyle w:val="ListParagraph"/>
        <w:numPr>
          <w:ilvl w:val="0"/>
          <w:numId w:val="5"/>
        </w:numPr>
        <w:spacing w:after="60"/>
      </w:pPr>
      <w:r>
        <w:t xml:space="preserve">Severity may be adjusted based on exploitability and exposure with documented rationale.</w:t>
      </w:r>
    </w:p>
    <w:p>
      <w:pPr>
        <w:pStyle w:val="ListParagraph"/>
        <w:numPr>
          <w:ilvl w:val="0"/>
          <w:numId w:val="5"/>
        </w:numPr>
        <w:spacing w:after="60"/>
      </w:pPr>
      <w:r>
        <w:t xml:space="preserve">Findings that cannot be remediated within SLA require a risk exception approved by the CISO, with compensating controls and an expiry date not exceeding 12 months.</w:t>
      </w:r>
    </w:p>
    <w:p>
      <w:pPr>
        <w:pStyle w:val="ListParagraph"/>
        <w:numPr>
          <w:ilvl w:val="0"/>
          <w:numId w:val="5"/>
        </w:numPr>
        <w:spacing w:after="60"/>
      </w:pPr>
      <w:r>
        <w:t xml:space="preserve">Operating system and runtime patches are applied by rebuilding base images at least monthly and redeploying through the pipeline.</w:t>
      </w:r>
    </w:p>
    <w:p>
      <w:pPr>
        <w:pStyle w:val="Heading2"/>
      </w:pPr>
      <w:r>
        <w:t xml:space="preserve">4.4 Malware protection</w:t>
      </w:r>
    </w:p>
    <w:p>
      <w:pPr>
        <w:spacing w:after="120"/>
      </w:pPr>
      <w:r>
        <w:t xml:space="preserve">Endpoints run EDR/anti-malware managed centrally. Production workloads run minimal, signed images; admission control blocks unsigned images.</w:t>
      </w:r>
    </w:p>
    <w:p>
      <w:pPr>
        <w:pStyle w:val="Heading1"/>
      </w:pPr>
      <w:r>
        <w:t xml:space="preserve">5. Exceptions</w:t>
      </w:r>
    </w:p>
    <w:p>
      <w:pPr>
        <w:spacing w:after="120"/>
      </w:pPr>
      <w:r>
        <w:t xml:space="preserve">Exceptions to this policy require a documented risk exception ticket stating the business justification, the risk, compensating controls and an expiry date (maximum 12 months), approved by the policy owner and the CISO. Exceptions are tracked in the risk register and reviewed at the quarterly steering meeting.</w:t>
      </w:r>
    </w:p>
    <w:p>
      <w:pPr>
        <w:pStyle w:val="Heading1"/>
      </w:pPr>
      <w:r>
        <w:t xml:space="preserve">6. Enforcement</w:t>
      </w:r>
    </w:p>
    <w:p>
      <w:pPr>
        <w:spacing w:after="120"/>
      </w:pPr>
      <w:r>
        <w:t xml:space="preserve">Violations of this policy may result in disciplinary action up to and including termination of employment or contract, and may be reported to authorities where required by law.</w:t>
      </w:r>
    </w:p>
    <w:p>
      <w:pPr>
        <w:pStyle w:val="Heading1"/>
      </w:pPr>
      <w:r>
        <w:t xml:space="preserve">7. Controls implementing this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1300"/>
        <w:gridCol w:w="2160"/>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ID</w:t>
            </w:r>
          </w:p>
        </w:tc>
        <w:tc>
          <w:tcPr>
            <w:tcW w:type="dxa" w:w="5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Control</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Frequency</w:t>
            </w:r>
          </w:p>
        </w:tc>
        <w:tc>
          <w:tcPr>
            <w:tcW w:type="dxa" w:w="21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Evidence</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INF-08</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Endpoint security.</w:t>
            </w:r>
            <w:r>
              <w:rPr>
                <w:sz w:val="18"/>
                <w:szCs w:val="18"/>
              </w:rPr>
              <w:t xml:space="preserve"> Company endpoints are enrolled in MDM with disk encryption, screen lock, OS updates and EDR/anti-malware enforced; non-compliant devices are blocked from SSO.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Continuous</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MDM compliance report; device-trust policy in IdP</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VUL-01</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Vulnerability scanning.</w:t>
            </w:r>
            <w:r>
              <w:rPr>
                <w:sz w:val="18"/>
                <w:szCs w:val="18"/>
              </w:rPr>
              <w:t xml:space="preserve"> Infrastructure, container images and dependencies are scanned at least weekly and on build; findings are triaged and remediated within SLA (Critical 7d, High 30d, Medium 90d).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Weekly / Per build</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Scan reports; SLA compliance report; remediation tickets</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VUL-02</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Annual penetration test.</w:t>
            </w:r>
            <w:r>
              <w:rPr>
                <w:sz w:val="18"/>
                <w:szCs w:val="18"/>
              </w:rPr>
              <w:t xml:space="preserve"> An independent penetration test of the production application and infrastructure is performed annually; findings are remediated within SLA.</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Annual</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Pen test report; remediation tickets / retest letter</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VUL-03</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Patch management.</w:t>
            </w:r>
            <w:r>
              <w:rPr>
                <w:sz w:val="18"/>
                <w:szCs w:val="18"/>
              </w:rPr>
              <w:t xml:space="preserve"> OS and runtime patches are applied through rebuilt images deployed via pipeline; managed services patched by provider.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Monthly</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Base image rebuild logs; image age report</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MON-01</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Centralized audit logging.</w:t>
            </w:r>
            <w:r>
              <w:rPr>
                <w:sz w:val="18"/>
                <w:szCs w:val="18"/>
              </w:rPr>
              <w:t xml:space="preserve"> Audit logs from IdP, SCM, CI/CD, cloud control plane, Kubernetes API, and ITSM are forwarded to the SIEM; log sources are monitored for ingestion gaps.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Continuous</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Log source inventory with last-seen timestamps; forwarding configs</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MON-02</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Log integrity and retention.</w:t>
            </w:r>
            <w:r>
              <w:rPr>
                <w:sz w:val="18"/>
                <w:szCs w:val="18"/>
              </w:rPr>
              <w:t xml:space="preserve"> Logs are stored immutably (WORM/object lock) and retained at least 12 months (90 days hot).</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Continuous</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Retention and object-lock configuration</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MON-03</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Security alerting rules.</w:t>
            </w:r>
            <w:r>
              <w:rPr>
                <w:sz w:val="18"/>
                <w:szCs w:val="18"/>
              </w:rPr>
              <w:t xml:space="preserve"> Detection rules alert on high-risk events: MFA/branch-protection disabled, admin role grants, break-glass use, pipeline secret access anomalies, public exposure, impossible travel.</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Continuous</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Detection rule catalog; sample alerts and triage tickets</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MON-04</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Availability and performance monitoring.</w:t>
            </w:r>
            <w:r>
              <w:rPr>
                <w:sz w:val="18"/>
                <w:szCs w:val="18"/>
              </w:rPr>
              <w:t xml:space="preserve"> Production services are monitored for availability, errors and latency; alerts route to on-call with escalation.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Continuous</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Monitor/alert definitions; on-call schedule; paging history</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MON-05</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Alert triage and ticketing.</w:t>
            </w:r>
            <w:r>
              <w:rPr>
                <w:sz w:val="18"/>
                <w:szCs w:val="18"/>
              </w:rPr>
              <w:t xml:space="preserve"> Security alerts are triaged within defined SLAs; triage outcome is documented in a ticket.</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Per event</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Alert-to-ticket linkage; triage timestamps for sampled alerts</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MON-06</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Control-drift monitoring (continuous compliance).</w:t>
            </w:r>
            <w:r>
              <w:rPr>
                <w:sz w:val="18"/>
                <w:szCs w:val="18"/>
              </w:rPr>
              <w:t xml:space="preserve"> Automated checks verify key controls (SSO enforcement, branch protection, MFA, encryption, logging) daily; failures alert control owners and are tracked.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Daily</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Control check results history; failure tickets</w:t>
            </w:r>
          </w:p>
        </w:tc>
      </w:tr>
    </w:tbl>
    <w:p>
      <w:pPr>
        <w:pStyle w:val="Heading1"/>
      </w:pPr>
      <w:r>
        <w:t xml:space="preserve">8. Related documents</w:t>
      </w:r>
    </w:p>
    <w:p>
      <w:pPr>
        <w:pStyle w:val="ListParagraph"/>
        <w:numPr>
          <w:ilvl w:val="0"/>
          <w:numId w:val="6"/>
        </w:numPr>
        <w:spacing w:after="60"/>
      </w:pPr>
      <w:r>
        <w:t xml:space="preserve">POL-01 Information Security Policy</w:t>
      </w:r>
    </w:p>
    <w:p>
      <w:pPr>
        <w:pStyle w:val="ListParagraph"/>
        <w:numPr>
          <w:ilvl w:val="0"/>
          <w:numId w:val="6"/>
        </w:numPr>
        <w:spacing w:after="60"/>
      </w:pPr>
      <w:r>
        <w:t xml:space="preserve">DES-001 Subsystem Integration Design for SOC 2 Compliance</w:t>
      </w:r>
    </w:p>
    <w:p>
      <w:pPr>
        <w:pStyle w:val="ListParagraph"/>
        <w:numPr>
          <w:ilvl w:val="0"/>
          <w:numId w:val="6"/>
        </w:numPr>
        <w:spacing w:after="60"/>
      </w:pPr>
      <w:r>
        <w:t xml:space="preserve">XLS-001 SOC 2 Control Matrix &amp; Evidence Tracker</w:t>
      </w:r>
    </w:p>
    <w:sectPr>
      <w:headerReference w:type="default" r:id="rId7"/>
      <w:footerReference w:type="default" r:id="rId8"/>
      <w:footerReference w:type="first" r:id="rId9"/>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95959"/>
        <w:sz w:val="16"/>
        <w:szCs w:val="16"/>
      </w:rPr>
      <w:t xml:space="preserve">[Company Name] — Controlled document. Printed copies are uncontrolled.</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pPr>
    <w:r>
      <w:rPr>
        <w:color w:val="595959"/>
        <w:sz w:val="16"/>
        <w:szCs w:val="16"/>
      </w:rPr>
      <w:t xml:space="preserve">POL-04  Logging, Monitoring &amp; Vulnerability Management Policy</w:t>
    </w:r>
    <w:r>
      <w:rPr>
        <w:color w:val="595959"/>
        <w:sz w:val="16"/>
        <w:szCs w:val="16"/>
      </w:rPr>
      <w:t xml:space="preserve">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00"/>
      </w:pPr>
    </w:lvl>
    <w:lvl w:ilvl="1" w15:tentative="1">
      <w:start w:val="1"/>
      <w:numFmt w:val="bullet"/>
      <w:lvlText w:val="◦"/>
      <w:lvlJc w:val="left"/>
      <w:pPr>
        <w:ind w:left="720" w:hanging="300"/>
      </w:pPr>
    </w:lvl>
  </w:abstractNum>
  <w:abstractNum w:abstractNumId="3" w15:restartNumberingAfterBreak="0">
    <w:multiLevelType w:val="hybridMultilevel"/>
    <w:lvl w:ilvl="0" w15:tentative="1">
      <w:start w:val="1"/>
      <w:numFmt w:val="decimal"/>
      <w:lvlText w:val="%1."/>
      <w:lvlJc w:val="left"/>
      <w:pPr>
        <w:ind w:left="360" w:hanging="300"/>
      </w:pPr>
    </w:lvl>
    <w:lvl w:ilvl="1" w15:tentative="1">
      <w:start w:val="1"/>
      <w:numFmt w:val="bullet"/>
      <w:lvlText w:val="◦"/>
      <w:lvlJc w:val="left"/>
      <w:pPr>
        <w:ind w:left="720" w:hanging="30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20" w:before="280"/>
      <w:outlineLvl w:val="1"/>
    </w:pPr>
    <w:rPr>
      <w:rFonts w:ascii="Arial" w:cs="Arial" w:eastAsia="Arial" w:hAnsi="Arial"/>
      <w:b/>
      <w:bCs/>
      <w:color w:val="1F3864"/>
      <w:sz w:val="26"/>
      <w:szCs w:val="26"/>
    </w:rPr>
  </w:style>
  <w:style w:type="paragraph" w:styleId="Heading3">
    <w:name w:val="Heading 3"/>
    <w:basedOn w:val="Normal"/>
    <w:next w:val="Normal"/>
    <w:qFormat/>
    <w:pPr>
      <w:keepNext/>
      <w:spacing w:after="80" w:before="200"/>
      <w:outlineLvl w:val="2"/>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Logging, Monitoring &amp; Vulnerability Management Policy</dc:title>
  <dc:creator>SOC 2 Audit Package</dc:creator>
  <cp:lastModifiedBy>Un-named</cp:lastModifiedBy>
  <cp:revision>1</cp:revision>
  <dcterms:created xsi:type="dcterms:W3CDTF">2026-09-24T21:55:38.512Z</dcterms:created>
  <dcterms:modified xsi:type="dcterms:W3CDTF">2026-09-24T21:55:38.512Z</dcterms:modified>
</cp:coreProperties>
</file>

<file path=docProps/custom.xml><?xml version="1.0" encoding="utf-8"?>
<Properties xmlns="http://schemas.openxmlformats.org/officeDocument/2006/custom-properties" xmlns:vt="http://schemas.openxmlformats.org/officeDocument/2006/docPropsVTypes"/>
</file>