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Incident Response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POL-05</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 / Security Lead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CC2.3, CC7.3, CC7.4, CC7.5</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security incidents are identified, reported, contained, eradicated and recovered from in a timely, coordinated way, with appropriate communication to affected parties and learning afterwards.</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1"/>
        <w:gridCol w:w="5619"/>
      </w:tblGrid>
      <w:tr>
        <w:trPr>
          <w:cantSplit/>
          <w:tblHeader/>
        </w:trPr>
        <w:tc>
          <w:tcPr>
            <w:tcW w:type="dxa" w:w="37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56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Incident Commander</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Leads the response; owns decisions and timeline.</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on-call</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Triage, investigation, containment.</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Engineering / SRE</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Technical remediation and recovery.</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Legal / Compliance</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Regulatory and contractual notification decisions.</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Communications / Customer Success</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Customer and external communication.</w:t>
            </w:r>
          </w:p>
        </w:tc>
      </w:tr>
      <w:tr>
        <w:trPr>
          <w:cantSplit/>
          <w:tblHeader w:val="false"/>
        </w:trPr>
        <w:tc>
          <w:tcPr>
            <w:tcW w:type="dxa" w:w="3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 personnel</w:t>
            </w:r>
          </w:p>
        </w:tc>
        <w:tc>
          <w:tcPr>
            <w:tcW w:type="dxa" w:w="5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Report suspected incidents immediately.</w:t>
            </w:r>
          </w:p>
        </w:tc>
      </w:tr>
    </w:tbl>
    <w:p>
      <w:pPr>
        <w:spacing w:after="80"/>
      </w:pPr>
    </w:p>
    <w:p>
      <w:pPr>
        <w:pStyle w:val="Heading1"/>
      </w:pPr>
      <w:r>
        <w:t xml:space="preserve">4. Policy</w:t>
      </w:r>
    </w:p>
    <w:p>
      <w:pPr>
        <w:pStyle w:val="Heading2"/>
      </w:pPr>
      <w:r>
        <w:t xml:space="preserve">4.1 Reporting</w:t>
      </w:r>
    </w:p>
    <w:p>
      <w:pPr>
        <w:spacing w:after="120"/>
      </w:pPr>
      <w:r>
        <w:t xml:space="preserve">All personnel must report suspected security incidents immediately via </w:t>
      </w:r>
      <w:r>
        <w:rPr>
          <w:highlight w:val="yellow"/>
          <w:highlightCs w:val="yellow"/>
        </w:rPr>
        <w:t xml:space="preserve">[#security-incident channel / security@ / on-call page]</w:t>
      </w:r>
      <w:r>
        <w:t xml:space="preserve">. Customers and third parties may report via </w:t>
      </w:r>
      <w:r>
        <w:rPr>
          <w:highlight w:val="yellow"/>
          <w:highlightCs w:val="yellow"/>
        </w:rPr>
        <w:t xml:space="preserve">[security contact / trust page]</w:t>
      </w:r>
      <w:r>
        <w:t xml:space="preserve">.</w:t>
      </w:r>
    </w:p>
    <w:p>
      <w:pPr>
        <w:pStyle w:val="Heading2"/>
      </w:pPr>
      <w:r>
        <w:t xml:space="preserve">4.2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9"/>
        <w:gridCol w:w="4274"/>
        <w:gridCol w:w="3687"/>
      </w:tblGrid>
      <w:tr>
        <w:trPr>
          <w:cantSplit/>
          <w:tblHeader/>
        </w:trPr>
        <w:tc>
          <w:tcPr>
            <w:tcW w:type="dxa" w:w="13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Severity</w:t>
            </w:r>
          </w:p>
        </w:tc>
        <w:tc>
          <w:tcPr>
            <w:tcW w:type="dxa" w:w="42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Definition (examples)</w:t>
            </w:r>
          </w:p>
        </w:tc>
        <w:tc>
          <w:tcPr>
            <w:tcW w:type="dxa" w:w="36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Response</w:t>
            </w:r>
          </w:p>
        </w:tc>
      </w:tr>
      <w:tr>
        <w:trPr>
          <w:cantSplit/>
          <w:tblHeader w:val="false"/>
        </w:trPr>
        <w:tc>
          <w:tcPr>
            <w:tcW w:type="dxa" w:w="13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SEV-1 Critical</w:t>
            </w:r>
          </w:p>
        </w:tc>
        <w:tc>
          <w:tcPr>
            <w:tcW w:type="dxa" w:w="4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Confirmed breach of customer data; production compromise; ransomware</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Immediate page; IC assigned; executives informed within 1 h</w:t>
            </w:r>
          </w:p>
        </w:tc>
      </w:tr>
      <w:tr>
        <w:trPr>
          <w:cantSplit/>
          <w:tblHeader w:val="false"/>
        </w:trPr>
        <w:tc>
          <w:tcPr>
            <w:tcW w:type="dxa" w:w="13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SEV-2 High</w:t>
            </w:r>
          </w:p>
        </w:tc>
        <w:tc>
          <w:tcPr>
            <w:tcW w:type="dxa" w:w="4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Suspected compromise of privileged account; significant control failure</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Page; IC within 1 h</w:t>
            </w:r>
          </w:p>
        </w:tc>
      </w:tr>
      <w:tr>
        <w:trPr>
          <w:cantSplit/>
          <w:tblHeader w:val="false"/>
        </w:trPr>
        <w:tc>
          <w:tcPr>
            <w:tcW w:type="dxa" w:w="13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SEV-3 Medium</w:t>
            </w:r>
          </w:p>
        </w:tc>
        <w:tc>
          <w:tcPr>
            <w:tcW w:type="dxa" w:w="4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Contained malware on endpoint; policy violation with limited exposure</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Business hours; ticket</w:t>
            </w:r>
          </w:p>
        </w:tc>
      </w:tr>
      <w:tr>
        <w:trPr>
          <w:cantSplit/>
          <w:tblHeader w:val="false"/>
        </w:trPr>
        <w:tc>
          <w:tcPr>
            <w:tcW w:type="dxa" w:w="139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SEV-4 Low</w:t>
            </w:r>
          </w:p>
        </w:tc>
        <w:tc>
          <w:tcPr>
            <w:tcW w:type="dxa" w:w="42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Suspicious activity with no evidence of compromise</w:t>
            </w:r>
          </w:p>
        </w:tc>
        <w:tc>
          <w:tcPr>
            <w:tcW w:type="dxa" w:w="3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Ticket; triage within 5 business days</w:t>
            </w:r>
          </w:p>
        </w:tc>
      </w:tr>
    </w:tbl>
    <w:p>
      <w:pPr>
        <w:spacing w:after="80"/>
      </w:pPr>
    </w:p>
    <w:p>
      <w:pPr>
        <w:pStyle w:val="Heading2"/>
      </w:pPr>
      <w:r>
        <w:t xml:space="preserve">4.3 Response lifecycle</w:t>
      </w:r>
    </w:p>
    <w:p>
      <w:pPr>
        <w:spacing w:after="120"/>
      </w:pPr>
      <w:r>
        <w:t xml:space="preserve">Incidents follow the lifecycle in the Incident Response Plan (PLN-01): preparation; detection and analysis; containment; eradication; recovery; post-incident activity. Evidence is preserved with chain of custody.</w:t>
      </w:r>
    </w:p>
    <w:p>
      <w:pPr>
        <w:pStyle w:val="Heading2"/>
      </w:pPr>
      <w:r>
        <w:t xml:space="preserve">4.4 Notification</w:t>
      </w:r>
    </w:p>
    <w:p>
      <w:pPr>
        <w:pStyle w:val="ListParagraph"/>
        <w:numPr>
          <w:ilvl w:val="0"/>
          <w:numId w:val="2"/>
        </w:numPr>
        <w:spacing w:after="60"/>
      </w:pPr>
      <w:r>
        <w:t xml:space="preserve">Legal/Compliance determines notification obligations under contracts and law.</w:t>
      </w:r>
    </w:p>
    <w:p>
      <w:pPr>
        <w:pStyle w:val="ListParagraph"/>
        <w:numPr>
          <w:ilvl w:val="0"/>
          <w:numId w:val="2"/>
        </w:numPr>
        <w:spacing w:after="60"/>
      </w:pPr>
      <w:r>
        <w:t xml:space="preserve">Affected customers are notified of confirmed breaches of their data within </w:t>
      </w:r>
      <w:r>
        <w:rPr>
          <w:highlight w:val="yellow"/>
          <w:highlightCs w:val="yellow"/>
        </w:rPr>
        <w:t xml:space="preserve">[72 hours]</w:t>
      </w:r>
      <w:r>
        <w:t xml:space="preserve"> of confirmation, or sooner if required by contract or law.</w:t>
      </w:r>
    </w:p>
    <w:p>
      <w:pPr>
        <w:pStyle w:val="ListParagraph"/>
        <w:numPr>
          <w:ilvl w:val="0"/>
          <w:numId w:val="2"/>
        </w:numPr>
        <w:spacing w:after="60"/>
      </w:pPr>
      <w:r>
        <w:t xml:space="preserve">Notifications to regulators and law enforcement are made as required.</w:t>
      </w:r>
    </w:p>
    <w:p>
      <w:pPr>
        <w:pStyle w:val="Heading2"/>
      </w:pPr>
      <w:r>
        <w:t xml:space="preserve">4.5 Post-incident review</w:t>
      </w:r>
    </w:p>
    <w:p>
      <w:pPr>
        <w:spacing w:after="120"/>
      </w:pPr>
      <w:r>
        <w:t xml:space="preserve">SEV-1 and SEV-2 incidents receive a blameless post-incident review within </w:t>
      </w:r>
      <w:r>
        <w:rPr>
          <w:highlight w:val="yellow"/>
          <w:highlightCs w:val="yellow"/>
        </w:rPr>
        <w:t xml:space="preserve">[10]</w:t>
      </w:r>
      <w:r>
        <w:t xml:space="preserve"> business days. Corrective actions are ticketed with owners and due dates and reported to the steering group.</w:t>
      </w:r>
    </w:p>
    <w:p>
      <w:pPr>
        <w:pStyle w:val="Heading2"/>
      </w:pPr>
      <w:r>
        <w:t xml:space="preserve">4.6 Testing</w:t>
      </w:r>
    </w:p>
    <w:p>
      <w:pPr>
        <w:spacing w:after="120"/>
      </w:pPr>
      <w:r>
        <w:t xml:space="preserve">The incident response plan is tested at least annually through a tabletop exercise, and updated with lessons learned.</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Alert triage and ticketing.</w:t>
            </w:r>
            <w:r>
              <w:rPr>
                <w:sz w:val="18"/>
                <w:szCs w:val="18"/>
              </w:rPr>
              <w:t xml:space="preserve"> Security alerts are triaged within defined SLAs; triage outcome is documented in a ticket.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Alert-to-ticket linkage; triage timestamps for sampled alerts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IR-01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Incident response plan.</w:t>
            </w:r>
            <w:r>
              <w:rPr>
                <w:sz w:val="18"/>
                <w:szCs w:val="18"/>
              </w:rPr>
              <w:t xml:space="preserve"> An incident response plan defines roles, severity levels, communication, evidence preservation and notification obligations; reviewed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Approved IR plan with review date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IR-02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Incident tracking and response.</w:t>
            </w:r>
            <w:r>
              <w:rPr>
                <w:sz w:val="18"/>
                <w:szCs w:val="18"/>
              </w:rPr>
              <w:t xml:space="preserve"> Security incidents are logged, classified, tracked to resolution and communicated per the IR plan, including customer notification when required.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Incident tickets with timeline, severity, notifications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IR-03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Post-incident review.</w:t>
            </w:r>
            <w:r>
              <w:rPr>
                <w:sz w:val="18"/>
                <w:szCs w:val="18"/>
              </w:rPr>
              <w:t xml:space="preserve"> Sev1/Sev2 incidents receive a blameless post-incident review with corrective actions tracked to closure.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Post-incident reports; corrective action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IR-04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Annual IR tabletop exercise.</w:t>
            </w:r>
            <w:r>
              <w:rPr>
                <w:sz w:val="18"/>
                <w:szCs w:val="18"/>
              </w:rPr>
              <w:t xml:space="preserve"> An incident response tabletop exercise is conducted at least annually; lessons learned update the plan.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Tabletop report with attendees and outcomes</w:t>
            </w:r>
          </w:p>
        </w:tc>
      </w:tr>
    </w:tbl>
    <w:p>
      <w:pPr>
        <w:pStyle w:val="Heading1"/>
      </w:pPr>
      <w:r>
        <w:t xml:space="preserve">8. Related documents</w:t>
      </w:r>
    </w:p>
    <w:p>
      <w:pPr>
        <w:pStyle w:val="ListParagraph"/>
        <w:numPr>
          <w:ilvl w:val="0"/>
          <w:numId w:val="3"/>
        </w:numPr>
        <w:spacing w:after="60"/>
      </w:pPr>
      <w:r>
        <w:t xml:space="preserve">POL-01 Information Security Policy</w:t>
      </w:r>
    </w:p>
    <w:p>
      <w:pPr>
        <w:pStyle w:val="ListParagraph"/>
        <w:numPr>
          <w:ilvl w:val="0"/>
          <w:numId w:val="3"/>
        </w:numPr>
        <w:spacing w:after="60"/>
      </w:pPr>
      <w:r>
        <w:t xml:space="preserve">DES-001 Subsystem Integration Design for SOC 2 Compliance</w:t>
      </w:r>
    </w:p>
    <w:p>
      <w:pPr>
        <w:pStyle w:val="ListParagraph"/>
        <w:numPr>
          <w:ilvl w:val="0"/>
          <w:numId w:val="3"/>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POL-05  Incident Response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dc:title>
  <dc:creator>SOC 2 Audit Package</dc:creator>
  <cp:lastModifiedBy>Un-named</cp:lastModifiedBy>
  <cp:revision>1</cp:revision>
  <dcterms:created xsi:type="dcterms:W3CDTF">2026-09-24T21:55:38.531Z</dcterms:created>
  <dcterms:modified xsi:type="dcterms:W3CDTF">2026-09-24T21:55:38.531Z</dcterms:modified>
</cp:coreProperties>
</file>

<file path=docProps/custom.xml><?xml version="1.0" encoding="utf-8"?>
<Properties xmlns="http://schemas.openxmlformats.org/officeDocument/2006/custom-properties" xmlns:vt="http://schemas.openxmlformats.org/officeDocument/2006/docPropsVTypes"/>
</file>