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Risk Management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POL-06</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CISO / Security Lead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CEO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CC3.1–CC3.4, CC5.1, CC9.1</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pStyle w:val="Heading1"/>
      </w:pPr>
      <w:r>
        <w:t xml:space="preserve">1. Purpose</w:t>
      </w:r>
    </w:p>
    <w:p>
      <w:pPr>
        <w:spacing w:after="120"/>
      </w:pPr>
      <w:r>
        <w:t xml:space="preserve">Define how the Company identifies, analyzes, evaluates and treats risks to its objectives and to its commitments to customers, including fraud risk and risks from significant change.</w:t>
      </w:r>
    </w:p>
    <w:p>
      <w:pPr>
        <w:pStyle w:val="Heading1"/>
      </w:pPr>
      <w:r>
        <w:t xml:space="preserve">2. Scope</w:t>
      </w:r>
    </w:p>
    <w:p>
      <w:pPr>
        <w:spacing w:after="120"/>
      </w:pPr>
      <w:r>
        <w:t xml:space="preserve">This policy applies to all employees, contractors and third parties with access to </w:t>
      </w:r>
      <w:r>
        <w:rPr>
          <w:highlight w:val="yellow"/>
          <w:highlightCs w:val="yellow"/>
        </w:rPr>
        <w:t xml:space="preserve">[Company Name]</w:t>
      </w:r>
      <w:r>
        <w:t xml:space="preserve"> information systems, and to all systems within the SOC 2 system boundary described in the System Description (SYS-001), including the subsystems listed in the Integration Design (DES-001).</w:t>
      </w:r>
    </w:p>
    <w:p>
      <w:pPr>
        <w:pStyle w:val="Heading1"/>
      </w:pPr>
      <w: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19"/>
        <w:gridCol w:w="6441"/>
      </w:tblGrid>
      <w:tr>
        <w:trPr>
          <w:cantSplit/>
          <w:tblHeader/>
        </w:trPr>
        <w:tc>
          <w:tcPr>
            <w:tcW w:type="dxa" w:w="29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w:t>
            </w:r>
          </w:p>
        </w:tc>
        <w:tc>
          <w:tcPr>
            <w:tcW w:type="dxa" w:w="64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Responsibility</w:t>
            </w:r>
          </w:p>
        </w:tc>
      </w:tr>
      <w:tr>
        <w:trPr>
          <w:cantSplit/>
          <w:tblHeader w:val="false"/>
        </w:trPr>
        <w:tc>
          <w:tcPr>
            <w:tcW w:type="dxa" w:w="29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CISO / Security Lead</w:t>
            </w:r>
          </w:p>
        </w:tc>
        <w:tc>
          <w:tcPr>
            <w:tcW w:type="dxa" w:w="6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Runs the risk assessment; maintains the risk register.</w:t>
            </w:r>
          </w:p>
        </w:tc>
      </w:tr>
      <w:tr>
        <w:trPr>
          <w:cantSplit/>
          <w:tblHeader w:val="false"/>
        </w:trPr>
        <w:tc>
          <w:tcPr>
            <w:tcW w:type="dxa" w:w="29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Risk owners</w:t>
            </w:r>
          </w:p>
        </w:tc>
        <w:tc>
          <w:tcPr>
            <w:tcW w:type="dxa" w:w="6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Own treatment plans for assigned risks.</w:t>
            </w:r>
          </w:p>
        </w:tc>
      </w:tr>
      <w:tr>
        <w:trPr>
          <w:cantSplit/>
          <w:tblHeader w:val="false"/>
        </w:trPr>
        <w:tc>
          <w:tcPr>
            <w:tcW w:type="dxa" w:w="29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Executive management</w:t>
            </w:r>
          </w:p>
        </w:tc>
        <w:tc>
          <w:tcPr>
            <w:tcW w:type="dxa" w:w="6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Approves risk appetite, treatment decisions and accepted risks.</w:t>
            </w:r>
          </w:p>
        </w:tc>
      </w:tr>
      <w:tr>
        <w:trPr>
          <w:cantSplit/>
          <w:tblHeader w:val="false"/>
        </w:trPr>
        <w:tc>
          <w:tcPr>
            <w:tcW w:type="dxa" w:w="29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Board / oversight committee</w:t>
            </w:r>
          </w:p>
        </w:tc>
        <w:tc>
          <w:tcPr>
            <w:tcW w:type="dxa" w:w="64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Reviews significant risks annually.</w:t>
            </w:r>
          </w:p>
        </w:tc>
      </w:tr>
    </w:tbl>
    <w:p>
      <w:pPr>
        <w:spacing w:after="80"/>
      </w:pPr>
    </w:p>
    <w:p>
      <w:pPr>
        <w:pStyle w:val="Heading1"/>
      </w:pPr>
      <w:r>
        <w:t xml:space="preserve">4. Policy</w:t>
      </w:r>
    </w:p>
    <w:p>
      <w:pPr>
        <w:pStyle w:val="Heading2"/>
      </w:pPr>
      <w:r>
        <w:t xml:space="preserve">4.1 Risk assessment</w:t>
      </w:r>
    </w:p>
    <w:p>
      <w:pPr>
        <w:pStyle w:val="ListParagraph"/>
        <w:numPr>
          <w:ilvl w:val="0"/>
          <w:numId w:val="2"/>
        </w:numPr>
        <w:spacing w:after="60"/>
      </w:pPr>
      <w:r>
        <w:t xml:space="preserve">A formal risk assessment is performed at least annually and upon significant change (new product, subsystem, vendor, region, acquisition or major architecture change).</w:t>
      </w:r>
    </w:p>
    <w:p>
      <w:pPr>
        <w:pStyle w:val="ListParagraph"/>
        <w:numPr>
          <w:ilvl w:val="0"/>
          <w:numId w:val="2"/>
        </w:numPr>
        <w:spacing w:after="60"/>
      </w:pPr>
      <w:r>
        <w:t xml:space="preserve">The assessment considers: objectives and commitments; assets and subsystems (see Integration Inventory); threats and vulnerabilities; changes in technology, business and regulation; and </w:t>
      </w:r>
      <w:r>
        <w:rPr>
          <w:b/>
          <w:bCs/>
        </w:rPr>
        <w:t xml:space="preserve">fraud risk</w:t>
      </w:r>
      <w:r>
        <w:t xml:space="preserve">, including incentives/pressures, opportunities (e.g., ability to both make and approve a change) and rationalization.</w:t>
      </w:r>
    </w:p>
    <w:p>
      <w:pPr>
        <w:pStyle w:val="ListParagraph"/>
        <w:numPr>
          <w:ilvl w:val="0"/>
          <w:numId w:val="2"/>
        </w:numPr>
        <w:spacing w:after="60"/>
      </w:pPr>
      <w:r>
        <w:t xml:space="preserve">Risks are scored for likelihood and impact on a 1–5 scale; inherent score = L ×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932"/>
        <w:gridCol w:w="7608"/>
      </w:tblGrid>
      <w:tr>
        <w:trPr>
          <w:cantSplit/>
          <w:tblHeader/>
        </w:trPr>
        <w:tc>
          <w:tcPr>
            <w:tcW w:type="dxa" w:w="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Score</w:t>
            </w:r>
          </w:p>
        </w:tc>
        <w:tc>
          <w:tcPr>
            <w:tcW w:type="dxa" w:w="9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Rating</w:t>
            </w:r>
          </w:p>
        </w:tc>
        <w:tc>
          <w:tcPr>
            <w:tcW w:type="dxa" w:w="76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Expected treatment</w:t>
            </w:r>
          </w:p>
        </w:tc>
      </w:tr>
      <w:tr>
        <w:trPr>
          <w:cantSplit/>
          <w:tblHeader w:val="false"/>
        </w:trPr>
        <w:tc>
          <w:tcPr>
            <w:tcW w:type="dxa" w:w="8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15–25</w:t>
            </w: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c>
          <w:tcPr>
            <w:tcW w:type="dxa" w:w="7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Treat promptly; executive visibility</w:t>
            </w:r>
          </w:p>
        </w:tc>
      </w:tr>
      <w:tr>
        <w:trPr>
          <w:cantSplit/>
          <w:tblHeader w:val="false"/>
        </w:trPr>
        <w:tc>
          <w:tcPr>
            <w:tcW w:type="dxa" w:w="8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8–14</w:t>
            </w: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Medium</w:t>
            </w:r>
          </w:p>
        </w:tc>
        <w:tc>
          <w:tcPr>
            <w:tcW w:type="dxa" w:w="7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Treatment plan with target date</w:t>
            </w:r>
          </w:p>
        </w:tc>
      </w:tr>
      <w:tr>
        <w:trPr>
          <w:cantSplit/>
          <w:tblHeader w:val="false"/>
        </w:trPr>
        <w:tc>
          <w:tcPr>
            <w:tcW w:type="dxa" w:w="8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1–7</w:t>
            </w: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Low</w:t>
            </w:r>
          </w:p>
        </w:tc>
        <w:tc>
          <w:tcPr>
            <w:tcW w:type="dxa" w:w="7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Accept or treat opportunistically</w:t>
            </w:r>
          </w:p>
        </w:tc>
      </w:tr>
    </w:tbl>
    <w:p>
      <w:pPr>
        <w:spacing w:after="80"/>
      </w:pPr>
    </w:p>
    <w:p>
      <w:pPr>
        <w:pStyle w:val="Heading2"/>
      </w:pPr>
      <w:r>
        <w:t xml:space="preserve">4.2 Treatment</w:t>
      </w:r>
    </w:p>
    <w:p>
      <w:pPr>
        <w:spacing w:after="120"/>
      </w:pPr>
      <w:r>
        <w:t xml:space="preserve">Each risk is assigned an owner and a treatment: mitigate (controls), transfer (insurance, contract), avoid, or accept. Residual risk is re-scored after controls. Accepted High residual risks require CEO approval and are re-reviewed at least annually.</w:t>
      </w:r>
    </w:p>
    <w:p>
      <w:pPr>
        <w:pStyle w:val="Heading2"/>
      </w:pPr>
      <w:r>
        <w:t xml:space="preserve">4.3 Risk register</w:t>
      </w:r>
    </w:p>
    <w:p>
      <w:pPr>
        <w:spacing w:after="120"/>
      </w:pPr>
      <w:r>
        <w:t xml:space="preserve">The risk register (Control Matrix workbook, Risk Register tab, or GRC tool) is the system of record. It is reviewed at the quarterly steering meeting.</w:t>
      </w:r>
    </w:p>
    <w:p>
      <w:pPr>
        <w:pStyle w:val="Heading2"/>
      </w:pPr>
      <w:r>
        <w:t xml:space="preserve">4.4 Risk appetite</w:t>
      </w:r>
    </w:p>
    <w:p>
      <w:pPr>
        <w:spacing w:after="120"/>
      </w:pPr>
      <w:r>
        <w:rPr>
          <w:highlight w:val="yellow"/>
          <w:highlightCs w:val="yellow"/>
        </w:rPr>
        <w:t xml:space="preserve">[State the Company's risk appetite, e.g., "The Company has a low appetite for risks that could result in unauthorized disclosure of customer data."]</w:t>
      </w:r>
    </w:p>
    <w:p>
      <w:pPr>
        <w:pStyle w:val="Heading2"/>
      </w:pPr>
      <w:r>
        <w:t xml:space="preserve">4.5 Insurance</w:t>
      </w:r>
    </w:p>
    <w:p>
      <w:pPr>
        <w:spacing w:after="120"/>
      </w:pPr>
      <w:r>
        <w:t xml:space="preserve">Cyber liability insurance is maintained and reviewed annually for adequacy.</w:t>
      </w:r>
    </w:p>
    <w:p>
      <w:pPr>
        <w:pStyle w:val="Heading1"/>
      </w:pPr>
      <w:r>
        <w:t xml:space="preserve">5. Exceptions</w:t>
      </w:r>
    </w:p>
    <w:p>
      <w:pPr>
        <w:spacing w:after="120"/>
      </w:pPr>
      <w:r>
        <w:t xml:space="preserve">Exceptions to this policy require a documented risk exception ticket stating the business justification, the risk, compensating controls and an expiry date (maximum 12 months), approved by the policy owner and the CISO. Exceptions are tracked in the risk register and reviewed at the quarterly steering meeting.</w:t>
      </w:r>
    </w:p>
    <w:p>
      <w:pPr>
        <w:pStyle w:val="Heading1"/>
      </w:pPr>
      <w:r>
        <w:t xml:space="preserve">6. Enforcement</w:t>
      </w:r>
    </w:p>
    <w:p>
      <w:pPr>
        <w:spacing w:after="120"/>
      </w:pPr>
      <w:r>
        <w:t xml:space="preserve">Violations of this policy may result in disciplinary action up to and including termination of employment or contract, and may be reported to authorities where required by law.</w:t>
      </w:r>
    </w:p>
    <w:p>
      <w:pPr>
        <w:pStyle w:val="Heading1"/>
      </w:pPr>
      <w:r>
        <w:t xml:space="preserve">7. Controls implementing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21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RSK-01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Annual risk assessment.</w:t>
            </w:r>
            <w:r>
              <w:rPr>
                <w:sz w:val="18"/>
                <w:szCs w:val="18"/>
              </w:rPr>
              <w:t xml:space="preserve"> A formal risk assessment, including fraud risk and technology/threat changes, is performed at least annually; risks are scored and assigned owners and treatment plans.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Risk assessment report; risk register with scores and treatment</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RSK-02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Security objectives defined.</w:t>
            </w:r>
            <w:r>
              <w:rPr>
                <w:sz w:val="18"/>
                <w:szCs w:val="18"/>
              </w:rPr>
              <w:t xml:space="preserve"> Security objectives aligned with service commitments and system requirements are documented and reviewed annually.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Documented objectives with approval</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RSK-03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Change-driven risk review.</w:t>
            </w:r>
            <w:r>
              <w:rPr>
                <w:sz w:val="18"/>
                <w:szCs w:val="18"/>
              </w:rPr>
              <w:t xml:space="preserve"> Significant changes (new subsystem, vendor, region, acquisition, architecture change) trigger a risk review before go-live.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Architecture/security review tickets for significant changes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RSK-04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Cyber insurance.</w:t>
            </w:r>
            <w:r>
              <w:rPr>
                <w:sz w:val="18"/>
                <w:szCs w:val="18"/>
              </w:rPr>
              <w:t xml:space="preserve"> Cyber liability insurance is maintained and reviewed annually for adequacy.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Insurance certificate / policy summary</w:t>
            </w:r>
          </w:p>
        </w:tc>
      </w:tr>
    </w:tbl>
    <w:p>
      <w:pPr>
        <w:pStyle w:val="Heading1"/>
      </w:pPr>
      <w:r>
        <w:t xml:space="preserve">8. Related documents</w:t>
      </w:r>
    </w:p>
    <w:p>
      <w:pPr>
        <w:pStyle w:val="ListParagraph"/>
        <w:numPr>
          <w:ilvl w:val="0"/>
          <w:numId w:val="3"/>
        </w:numPr>
        <w:spacing w:after="60"/>
      </w:pPr>
      <w:r>
        <w:t xml:space="preserve">POL-01 Information Security Policy</w:t>
      </w:r>
    </w:p>
    <w:p>
      <w:pPr>
        <w:pStyle w:val="ListParagraph"/>
        <w:numPr>
          <w:ilvl w:val="0"/>
          <w:numId w:val="3"/>
        </w:numPr>
        <w:spacing w:after="60"/>
      </w:pPr>
      <w:r>
        <w:t xml:space="preserve">DES-001 Subsystem Integration Design for SOC 2 Compliance</w:t>
      </w:r>
    </w:p>
    <w:p>
      <w:pPr>
        <w:pStyle w:val="ListParagraph"/>
        <w:numPr>
          <w:ilvl w:val="0"/>
          <w:numId w:val="3"/>
        </w:numPr>
        <w:spacing w:after="60"/>
      </w:pPr>
      <w:r>
        <w:t xml:space="preserve">XLS-001 SOC 2 Control Matrix &amp; Evidence Tracker</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POL-06  Risk Management Policy</w:t>
    </w:r>
    <w:r>
      <w:rPr>
        <w:color w:val="59595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Policy</dc:title>
  <dc:creator>SOC 2 Audit Package</dc:creator>
  <cp:lastModifiedBy>Un-named</cp:lastModifiedBy>
  <cp:revision>1</cp:revision>
  <dcterms:created xsi:type="dcterms:W3CDTF">2026-09-24T21:55:38.548Z</dcterms:created>
  <dcterms:modified xsi:type="dcterms:W3CDTF">2026-09-24T21:55:38.548Z</dcterms:modified>
</cp:coreProperties>
</file>

<file path=docProps/custom.xml><?xml version="1.0" encoding="utf-8"?>
<Properties xmlns="http://schemas.openxmlformats.org/officeDocument/2006/custom-properties" xmlns:vt="http://schemas.openxmlformats.org/officeDocument/2006/docPropsVTypes"/>
</file>