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Vendor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POL-07</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Compliance Manager</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CISO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CC2.3, CC9.2</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Ensure risks from vendors and business partners that access, process, store or affect Company or customer data are identified, assessed, contractually addressed and monitored.</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4"/>
        <w:gridCol w:w="7036"/>
      </w:tblGrid>
      <w:tr>
        <w:trPr>
          <w:cantSplit/>
          <w:tblHeader/>
        </w:trPr>
        <w:tc>
          <w:tcPr>
            <w:tcW w:type="dxa" w:w="23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70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23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Business owner</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Sponsors the vendor; provides use-case and data details.</w:t>
            </w:r>
          </w:p>
        </w:tc>
      </w:tr>
      <w:tr>
        <w:trPr>
          <w:cantSplit/>
          <w:tblHeader w:val="false"/>
        </w:trPr>
        <w:tc>
          <w:tcPr>
            <w:tcW w:type="dxa" w:w="23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Compliance / Security</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Performs due diligence and annual reviews; maintains vendor inventory.</w:t>
            </w:r>
          </w:p>
        </w:tc>
      </w:tr>
      <w:tr>
        <w:trPr>
          <w:cantSplit/>
          <w:tblHeader w:val="false"/>
        </w:trPr>
        <w:tc>
          <w:tcPr>
            <w:tcW w:type="dxa" w:w="23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Legal</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Ensures security and privacy terms in contracts.</w:t>
            </w:r>
          </w:p>
        </w:tc>
      </w:tr>
      <w:tr>
        <w:trPr>
          <w:cantSplit/>
          <w:tblHeader w:val="false"/>
        </w:trPr>
        <w:tc>
          <w:tcPr>
            <w:tcW w:type="dxa" w:w="23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Finance / Procurement</w:t>
            </w:r>
          </w:p>
        </w:tc>
        <w:tc>
          <w:tcPr>
            <w:tcW w:type="dxa" w:w="70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Ensures no vendor is paid without completed review.</w:t>
            </w:r>
          </w:p>
        </w:tc>
      </w:tr>
    </w:tbl>
    <w:p>
      <w:pPr>
        <w:spacing w:after="80"/>
      </w:pPr>
    </w:p>
    <w:p>
      <w:pPr>
        <w:pStyle w:val="Heading1"/>
      </w:pPr>
      <w:r>
        <w:t xml:space="preserve">4. Policy</w:t>
      </w:r>
    </w:p>
    <w:p>
      <w:pPr>
        <w:pStyle w:val="Heading2"/>
      </w:pPr>
      <w:r>
        <w:t xml:space="preserve">4.1 Inventory and tiering</w:t>
      </w:r>
    </w:p>
    <w:p>
      <w:pPr>
        <w:spacing w:after="120"/>
      </w:pPr>
      <w:r>
        <w:t xml:space="preserve">All vendors are recorded in the vendor inventory with owner, service, data accessed and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6"/>
        <w:gridCol w:w="5191"/>
        <w:gridCol w:w="3013"/>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Tier</w:t>
            </w:r>
          </w:p>
        </w:tc>
        <w:tc>
          <w:tcPr>
            <w:tcW w:type="dxa" w:w="51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Criteria</w:t>
            </w:r>
          </w:p>
        </w:tc>
        <w:tc>
          <w:tcPr>
            <w:tcW w:type="dxa" w:w="30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Review</w:t>
            </w:r>
          </w:p>
        </w:tc>
      </w:tr>
      <w:tr>
        <w:trPr>
          <w:cantSplit/>
          <w:tblHeader w:val="false"/>
        </w:trPr>
        <w:tc>
          <w:tcPr>
            <w:tcW w:type="dxa" w:w="1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Critical</w:t>
            </w:r>
          </w:p>
        </w:tc>
        <w:tc>
          <w:tcPr>
            <w:tcW w:type="dxa" w:w="5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Processes customer data or can affect production (e.g., cloud, IdP, SCM/CI, SIEM)</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Before onboarding and annually</w:t>
            </w:r>
          </w:p>
        </w:tc>
      </w:tr>
      <w:tr>
        <w:trPr>
          <w:cantSplit/>
          <w:tblHeader w:val="false"/>
        </w:trPr>
        <w:tc>
          <w:tcPr>
            <w:tcW w:type="dxa" w:w="1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High</w:t>
            </w:r>
          </w:p>
        </w:tc>
        <w:tc>
          <w:tcPr>
            <w:tcW w:type="dxa" w:w="5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Processes Confidential Company data</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Before onboarding and every 2 years</w:t>
            </w:r>
          </w:p>
        </w:tc>
      </w:tr>
      <w:tr>
        <w:trPr>
          <w:cantSplit/>
          <w:tblHeader w:val="false"/>
        </w:trPr>
        <w:tc>
          <w:tcPr>
            <w:tcW w:type="dxa" w:w="11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Low</w:t>
            </w:r>
          </w:p>
        </w:tc>
        <w:tc>
          <w:tcPr>
            <w:tcW w:type="dxa" w:w="5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 sensitive data; no system access</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At onboarding (lightweight)</w:t>
            </w:r>
          </w:p>
        </w:tc>
      </w:tr>
    </w:tbl>
    <w:p>
      <w:pPr>
        <w:spacing w:after="80"/>
      </w:pPr>
    </w:p>
    <w:p>
      <w:pPr>
        <w:pStyle w:val="Heading2"/>
      </w:pPr>
      <w:r>
        <w:t xml:space="preserve">4.2 Due diligence</w:t>
      </w:r>
    </w:p>
    <w:p>
      <w:pPr>
        <w:spacing w:after="120"/>
      </w:pPr>
      <w:r>
        <w:t xml:space="preserve">Before onboarding and at each review, Critical vendors provide a current SOC 2 Type II report (or ISO 27001 certificate with SoA, or a completed security questionnaire). The review records: report period and opinion; exceptions noted and their relevance; bridge letter if the period is stale; subservice organizations; and complementary user entity controls (CUECs) the Company must operate, mapped to Company controls.</w:t>
      </w:r>
    </w:p>
    <w:p>
      <w:pPr>
        <w:pStyle w:val="Heading2"/>
      </w:pPr>
      <w:r>
        <w:t xml:space="preserve">4.3 Contracts</w:t>
      </w:r>
    </w:p>
    <w:p>
      <w:pPr>
        <w:spacing w:after="120"/>
      </w:pPr>
      <w:r>
        <w:t xml:space="preserve">Contracts with Critical and High vendors include confidentiality, security requirements, breach notification (with timeframe), subprocessor restrictions, data return/deletion, and right to audit or receive assurance reports.</w:t>
      </w:r>
    </w:p>
    <w:p>
      <w:pPr>
        <w:pStyle w:val="Heading2"/>
      </w:pPr>
      <w:r>
        <w:t xml:space="preserve">4.4 Offboarding</w:t>
      </w:r>
    </w:p>
    <w:p>
      <w:pPr>
        <w:spacing w:after="120"/>
      </w:pPr>
      <w:r>
        <w:t xml:space="preserve">On termination, access granted to the vendor is revoked and data return/deletion is confirmed.</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VEN-01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Vendor inventory and risk tiering.</w:t>
            </w:r>
            <w:r>
              <w:rPr>
                <w:sz w:val="18"/>
                <w:szCs w:val="18"/>
              </w:rPr>
              <w:t xml:space="preserve"> All vendors and sub-service organizations processing company or customer data are inventoried and risk-tiered.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Ongoing / Annual review</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Vendor inventory with tier and data classification</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VEN-02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Vendor security due diligence.</w:t>
            </w:r>
            <w:r>
              <w:rPr>
                <w:sz w:val="18"/>
                <w:szCs w:val="18"/>
              </w:rPr>
              <w:t xml:space="preserve"> Before onboarding and annually for critical vendors, security posture is reviewed (SOC 2 report, questionnaire), including complementary user entity controls (CUECs).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 / 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Vendor SOC reports and review memos incl. CUEC mapping</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VEN-03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Vendor contracts include security terms.</w:t>
            </w:r>
            <w:r>
              <w:rPr>
                <w:sz w:val="18"/>
                <w:szCs w:val="18"/>
              </w:rPr>
              <w:t xml:space="preserve"> Contracts with critical vendors include confidentiality, security, breach notification and right-to-audit terms.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Executed contracts/DPAs for sampled vendors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INF-10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Physical security (carved-out).</w:t>
            </w:r>
            <w:r>
              <w:rPr>
                <w:sz w:val="18"/>
                <w:szCs w:val="18"/>
              </w:rPr>
              <w:t xml:space="preserve"> Physical security of data centers is the responsibility of the cloud provider (sub-service organization, carve-out); office access is badge-controlled where applicable.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Cloud provider SOC 2 review memo; office access procedure</w:t>
            </w:r>
          </w:p>
        </w:tc>
      </w:tr>
    </w:tbl>
    <w:p>
      <w:pPr>
        <w:pStyle w:val="Heading1"/>
      </w:pPr>
      <w:r>
        <w:t xml:space="preserve">8. Related documents</w:t>
      </w:r>
    </w:p>
    <w:p>
      <w:pPr>
        <w:pStyle w:val="ListParagraph"/>
        <w:numPr>
          <w:ilvl w:val="0"/>
          <w:numId w:val="2"/>
        </w:numPr>
        <w:spacing w:after="60"/>
      </w:pPr>
      <w:r>
        <w:t xml:space="preserve">POL-01 Information Security Policy</w:t>
      </w:r>
    </w:p>
    <w:p>
      <w:pPr>
        <w:pStyle w:val="ListParagraph"/>
        <w:numPr>
          <w:ilvl w:val="0"/>
          <w:numId w:val="2"/>
        </w:numPr>
        <w:spacing w:after="60"/>
      </w:pPr>
      <w:r>
        <w:t xml:space="preserve">DES-001 Subsystem Integration Design for SOC 2 Compliance</w:t>
      </w:r>
    </w:p>
    <w:p>
      <w:pPr>
        <w:pStyle w:val="ListParagraph"/>
        <w:numPr>
          <w:ilvl w:val="0"/>
          <w:numId w:val="2"/>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POL-07  Vendor Management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Management Policy</dc:title>
  <dc:creator>SOC 2 Audit Package</dc:creator>
  <cp:lastModifiedBy>Un-named</cp:lastModifiedBy>
  <cp:revision>1</cp:revision>
  <dcterms:created xsi:type="dcterms:W3CDTF">2026-09-24T21:55:38.566Z</dcterms:created>
  <dcterms:modified xsi:type="dcterms:W3CDTF">2026-09-24T21:55:38.566Z</dcterms:modified>
</cp:coreProperties>
</file>

<file path=docProps/custom.xml><?xml version="1.0" encoding="utf-8"?>
<Properties xmlns="http://schemas.openxmlformats.org/officeDocument/2006/custom-properties" xmlns:vt="http://schemas.openxmlformats.org/officeDocument/2006/docPropsVTypes"/>
</file>