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color w:val="595959"/>
          <w:sz w:val="24"/>
          <w:szCs w:val="24"/>
          <w:highlight w:val="yellow"/>
          <w:highlightCs w:val="yellow"/>
        </w:rPr>
        <w:t xml:space="preserve">[Company Name]</w:t>
      </w:r>
    </w:p>
    <w:p>
      <w:pPr>
        <w:pBdr>
          <w:bottom w:val="single" w:color="1F3864" w:sz="12" w:space="8"/>
        </w:pBdr>
        <w:spacing w:after="120" w:before="200"/>
      </w:pPr>
      <w:r>
        <w:rPr>
          <w:b/>
          <w:bCs/>
          <w:color w:val="1F3864"/>
          <w:sz w:val="48"/>
          <w:szCs w:val="48"/>
        </w:rPr>
        <w:t xml:space="preserve">Business Continuity &amp; Disaster Recovery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Field</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Value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ID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POL-08</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Version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1.0</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Classification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Internal</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Document owner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SRE Lead</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Approved by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CTO</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Effective date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Review cycle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Annually, or upon significant change</w:t>
            </w:r>
          </w:p>
        </w:tc>
      </w:tr>
      <w:tr>
        <w:trPr>
          <w:cantSplit/>
          <w:tblHeader w:val="false"/>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SOC 2 criteria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CC7.5, CC9.1</w:t>
            </w:r>
          </w:p>
        </w:tc>
      </w:tr>
    </w:tbl>
    <w:p>
      <w:pPr>
        <w:spacing w:after="120" w:before="360"/>
      </w:pPr>
      <w:r>
        <w:rPr>
          <w:b/>
          <w:bCs/>
          <w:color w:val="1F3864"/>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800"/>
        <w:gridCol w:w="3260"/>
        <w:gridCol w:w="18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Version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Date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Author</w:t>
            </w:r>
          </w:p>
        </w:tc>
        <w:tc>
          <w:tcPr>
            <w:tcW w:type="dxa" w:w="32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Summary of changes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Approver</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[YYYY-MM-DD]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Initial release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[Name]</w:t>
            </w:r>
          </w:p>
        </w:tc>
      </w:tr>
      <w:tr>
        <w:trPr>
          <w:cantSplit/>
          <w:tblHeader w:val="false"/>
        </w:trPr>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p>
        </w:tc>
      </w:tr>
    </w:tbl>
    <w:p>
      <w:r>
        <w:br w:type="page"/>
      </w:r>
    </w:p>
    <w:p>
      <w:pPr>
        <w:pStyle w:val="Heading1"/>
      </w:pPr>
      <w:r>
        <w:t xml:space="preserve">1. Purpose</w:t>
      </w:r>
    </w:p>
    <w:p>
      <w:pPr>
        <w:spacing w:after="120"/>
      </w:pPr>
      <w:r>
        <w:t xml:space="preserve">Ensure the Company can continue critical operations and recover the production system from disruptions within defined objectives.</w:t>
      </w:r>
    </w:p>
    <w:p>
      <w:pPr>
        <w:pStyle w:val="Heading1"/>
      </w:pPr>
      <w:r>
        <w:t xml:space="preserve">2. Scope</w:t>
      </w:r>
    </w:p>
    <w:p>
      <w:pPr>
        <w:spacing w:after="120"/>
      </w:pPr>
      <w:r>
        <w:t xml:space="preserve">This policy applies to all employees, contractors and third parties with access to </w:t>
      </w:r>
      <w:r>
        <w:rPr>
          <w:highlight w:val="yellow"/>
          <w:highlightCs w:val="yellow"/>
        </w:rPr>
        <w:t xml:space="preserve">[Company Name]</w:t>
      </w:r>
      <w:r>
        <w:t xml:space="preserve"> information systems, and to all systems within the SOC 2 system boundary described in the System Description (SYS-001), including the subsystems listed in the Integration Design (DES-001).</w:t>
      </w:r>
    </w:p>
    <w:p>
      <w:pPr>
        <w:pStyle w:val="Heading1"/>
      </w:pPr>
      <w:r>
        <w:t xml:space="preserve">3.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6"/>
        <w:gridCol w:w="6634"/>
      </w:tblGrid>
      <w:tr>
        <w:trPr>
          <w:cantSplit/>
          <w:tblHeader/>
        </w:trPr>
        <w:tc>
          <w:tcPr>
            <w:tcW w:type="dxa" w:w="2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Role</w:t>
            </w:r>
          </w:p>
        </w:tc>
        <w:tc>
          <w:tcPr>
            <w:tcW w:type="dxa" w:w="66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Responsibility</w:t>
            </w:r>
          </w:p>
        </w:tc>
      </w:tr>
      <w:tr>
        <w:trPr>
          <w:cantSplit/>
          <w:tblHeader w:val="false"/>
        </w:trPr>
        <w:tc>
          <w:tcPr>
            <w:tcW w:type="dxa" w:w="27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SRE Lead</w:t>
            </w:r>
          </w:p>
        </w:tc>
        <w:tc>
          <w:tcPr>
            <w:tcW w:type="dxa" w:w="6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Owns BC/DR plan, backups and DR testing.</w:t>
            </w:r>
          </w:p>
        </w:tc>
      </w:tr>
      <w:tr>
        <w:trPr>
          <w:cantSplit/>
          <w:tblHeader w:val="false"/>
        </w:trPr>
        <w:tc>
          <w:tcPr>
            <w:tcW w:type="dxa" w:w="27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Platform Engineering</w:t>
            </w:r>
          </w:p>
        </w:tc>
        <w:tc>
          <w:tcPr>
            <w:tcW w:type="dxa" w:w="6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Builds resilient, reproducible infrastructure.</w:t>
            </w:r>
          </w:p>
        </w:tc>
      </w:tr>
      <w:tr>
        <w:trPr>
          <w:cantSplit/>
          <w:tblHeader w:val="false"/>
        </w:trPr>
        <w:tc>
          <w:tcPr>
            <w:tcW w:type="dxa" w:w="27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Executive management</w:t>
            </w:r>
          </w:p>
        </w:tc>
        <w:tc>
          <w:tcPr>
            <w:tcW w:type="dxa" w:w="66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Declares disasters; approves RTO/RPO.</w:t>
            </w:r>
          </w:p>
        </w:tc>
      </w:tr>
    </w:tbl>
    <w:p>
      <w:pPr>
        <w:spacing w:after="80"/>
      </w:pPr>
    </w:p>
    <w:p>
      <w:pPr>
        <w:pStyle w:val="Heading1"/>
      </w:pPr>
      <w:r>
        <w:t xml:space="preserve">4. Policy</w:t>
      </w:r>
    </w:p>
    <w:p>
      <w:pPr>
        <w:pStyle w:val="Heading2"/>
      </w:pPr>
      <w:r>
        <w:t xml:space="preserve">4.1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81"/>
        <w:gridCol w:w="1639"/>
        <w:gridCol w:w="1640"/>
      </w:tblGrid>
      <w:tr>
        <w:trPr>
          <w:cantSplit/>
          <w:tblHeader/>
        </w:trPr>
        <w:tc>
          <w:tcPr>
            <w:tcW w:type="dxa" w:w="608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Service tier</w:t>
            </w:r>
          </w:p>
        </w:tc>
        <w:tc>
          <w:tcPr>
            <w:tcW w:type="dxa" w:w="163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RTO</w:t>
            </w:r>
          </w:p>
        </w:tc>
        <w:tc>
          <w:tcPr>
            <w:tcW w:type="dxa" w:w="164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RPO</w:t>
            </w:r>
          </w:p>
        </w:tc>
      </w:tr>
      <w:tr>
        <w:trPr>
          <w:cantSplit/>
          <w:tblHeader w:val="false"/>
        </w:trPr>
        <w:tc>
          <w:tcPr>
            <w:tcW w:type="dxa" w:w="608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Tier 1 — customer-facing production</w:t>
            </w:r>
          </w:p>
        </w:tc>
        <w:tc>
          <w:tcPr>
            <w:tcW w:type="dxa" w:w="16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[4 hours]</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[1 hour]</w:t>
            </w:r>
          </w:p>
        </w:tc>
      </w:tr>
      <w:tr>
        <w:trPr>
          <w:cantSplit/>
          <w:tblHeader w:val="false"/>
        </w:trPr>
        <w:tc>
          <w:tcPr>
            <w:tcW w:type="dxa" w:w="6081"/>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sz w:val="18"/>
                <w:szCs w:val="18"/>
              </w:rPr>
              <w:t xml:space="preserve">Tier 2 — internal supporting systems</w:t>
            </w:r>
          </w:p>
        </w:tc>
        <w:tc>
          <w:tcPr>
            <w:tcW w:type="dxa" w:w="16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[24 hours]</w:t>
            </w:r>
          </w:p>
        </w:tc>
        <w:tc>
          <w:tcPr>
            <w:tcW w:type="dxa" w:w="1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highlight w:val="yellow"/>
                <w:highlightCs w:val="yellow"/>
              </w:rPr>
              <w:t xml:space="preserve">[24 hours]</w:t>
            </w:r>
          </w:p>
        </w:tc>
      </w:tr>
    </w:tbl>
    <w:p>
      <w:pPr>
        <w:spacing w:after="80"/>
      </w:pPr>
    </w:p>
    <w:p>
      <w:pPr>
        <w:pStyle w:val="Heading2"/>
      </w:pPr>
      <w:r>
        <w:t xml:space="preserve">4.2 Resilience</w:t>
      </w:r>
    </w:p>
    <w:p>
      <w:pPr>
        <w:spacing w:after="120"/>
      </w:pPr>
      <w:r>
        <w:t xml:space="preserve">Production runs across multiple availability zones with health checks and automatic recovery. Infrastructure can be recreated from IaC in an alternate region.</w:t>
      </w:r>
    </w:p>
    <w:p>
      <w:pPr>
        <w:pStyle w:val="Heading2"/>
      </w:pPr>
      <w:r>
        <w:t xml:space="preserve">4.3 Backups</w:t>
      </w:r>
    </w:p>
    <w:p>
      <w:pPr>
        <w:pStyle w:val="ListParagraph"/>
        <w:numPr>
          <w:ilvl w:val="0"/>
          <w:numId w:val="2"/>
        </w:numPr>
        <w:spacing w:after="60"/>
      </w:pPr>
      <w:r>
        <w:t xml:space="preserve">Production data stores are backed up automatically at a frequency that meets RPO, with point-in-time recovery where available.</w:t>
      </w:r>
    </w:p>
    <w:p>
      <w:pPr>
        <w:pStyle w:val="ListParagraph"/>
        <w:numPr>
          <w:ilvl w:val="0"/>
          <w:numId w:val="2"/>
        </w:numPr>
        <w:spacing w:after="60"/>
      </w:pPr>
      <w:r>
        <w:t xml:space="preserve">Backups are encrypted and copied to an isolated account/region with immutability (vault lock).</w:t>
      </w:r>
    </w:p>
    <w:p>
      <w:pPr>
        <w:pStyle w:val="ListParagraph"/>
        <w:numPr>
          <w:ilvl w:val="0"/>
          <w:numId w:val="2"/>
        </w:numPr>
        <w:spacing w:after="60"/>
      </w:pPr>
      <w:r>
        <w:t xml:space="preserve">Backup failures alert on-call.</w:t>
      </w:r>
    </w:p>
    <w:p>
      <w:pPr>
        <w:pStyle w:val="ListParagraph"/>
        <w:numPr>
          <w:ilvl w:val="0"/>
          <w:numId w:val="2"/>
        </w:numPr>
        <w:spacing w:after="60"/>
      </w:pPr>
      <w:r>
        <w:t xml:space="preserve">Restores are tested at least quarterly; results are documented against RTO/RPO.</w:t>
      </w:r>
    </w:p>
    <w:p>
      <w:pPr>
        <w:pStyle w:val="Heading2"/>
      </w:pPr>
      <w:r>
        <w:t xml:space="preserve">4.4 Plan and testing</w:t>
      </w:r>
    </w:p>
    <w:p>
      <w:pPr>
        <w:spacing w:after="120"/>
      </w:pPr>
      <w:r>
        <w:t xml:space="preserve">The BC/DR plan (PLN-02) is reviewed and tested at least annually through a failover exercise or tabletop. Results and corrective actions are documented.</w:t>
      </w:r>
    </w:p>
    <w:p>
      <w:pPr>
        <w:pStyle w:val="Heading1"/>
      </w:pPr>
      <w:r>
        <w:t xml:space="preserve">5. Exceptions</w:t>
      </w:r>
    </w:p>
    <w:p>
      <w:pPr>
        <w:spacing w:after="120"/>
      </w:pPr>
      <w:r>
        <w:t xml:space="preserve">Exceptions to this policy require a documented risk exception ticket stating the business justification, the risk, compensating controls and an expiry date (maximum 12 months), approved by the policy owner and the CISO. Exceptions are tracked in the risk register and reviewed at the quarterly steering meeting.</w:t>
      </w:r>
    </w:p>
    <w:p>
      <w:pPr>
        <w:pStyle w:val="Heading1"/>
      </w:pPr>
      <w:r>
        <w:t xml:space="preserve">6. Enforcement</w:t>
      </w:r>
    </w:p>
    <w:p>
      <w:pPr>
        <w:spacing w:after="120"/>
      </w:pPr>
      <w:r>
        <w:t xml:space="preserve">Violations of this policy may result in disciplinary action up to and including termination of employment or contract, and may be reported to authorities where required by law.</w:t>
      </w:r>
    </w:p>
    <w:p>
      <w:pPr>
        <w:pStyle w:val="Heading1"/>
      </w:pPr>
      <w:r>
        <w:t xml:space="preserve">7. Controls implementing this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300"/>
        <w:gridCol w:w="216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ID</w:t>
            </w:r>
          </w:p>
        </w:tc>
        <w:tc>
          <w:tcPr>
            <w:tcW w:type="dxa" w:w="5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Control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Frequency</w:t>
            </w:r>
          </w:p>
        </w:tc>
        <w:tc>
          <w:tcPr>
            <w:tcW w:type="dxa" w:w="21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before="20"/>
            </w:pPr>
            <w:r>
              <w:rPr>
                <w:b/>
                <w:bCs/>
                <w:color w:val="FFFFFF"/>
                <w:sz w:val="18"/>
                <w:szCs w:val="18"/>
              </w:rPr>
              <w:t xml:space="preserve">Evidence</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BCP-01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Automated backups.</w:t>
            </w:r>
            <w:r>
              <w:rPr>
                <w:sz w:val="18"/>
                <w:szCs w:val="18"/>
              </w:rPr>
              <w:t xml:space="preserve"> Production databases and critical data stores are backed up automatically per defined RPO; backups are encrypted and stored in a separate account/region.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Daily</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Backup policy configuration; backup job success report</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BCP-02</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Backup restoration test.</w:t>
            </w:r>
            <w:r>
              <w:rPr>
                <w:sz w:val="18"/>
                <w:szCs w:val="18"/>
              </w:rPr>
              <w:t xml:space="preserve"> Restores from backup are tested at least quarterly and results documented against RTO/RPO.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Quarterly</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Restore test tickets with results and timings</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BCP-03</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BC/DR plan and annual test.</w:t>
            </w:r>
            <w:r>
              <w:rPr>
                <w:sz w:val="18"/>
                <w:szCs w:val="18"/>
              </w:rPr>
              <w:t xml:space="preserve"> A BC/DR plan with RTO/RPO for critical services is maintained and tested annually (failover or tabletop).</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Annual</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BC/DR plan; DR test report</w:t>
            </w:r>
          </w:p>
        </w:tc>
      </w:tr>
      <w:tr>
        <w:trPr>
          <w:cantSplit/>
          <w:tblHeader w:val="false"/>
        </w:trP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20" w:before="20"/>
            </w:pPr>
            <w:r>
              <w:rPr>
                <w:b/>
                <w:bCs/>
                <w:sz w:val="18"/>
                <w:szCs w:val="18"/>
              </w:rPr>
              <w:t xml:space="preserve">BCP-04</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b/>
                <w:bCs/>
                <w:sz w:val="18"/>
                <w:szCs w:val="18"/>
              </w:rPr>
              <w:t xml:space="preserve">Resilient architecture.</w:t>
            </w:r>
            <w:r>
              <w:rPr>
                <w:sz w:val="18"/>
                <w:szCs w:val="18"/>
              </w:rPr>
              <w:t xml:space="preserve"> Production is deployed across multiple availability zones with health checks and auto-recovery; infrastructure can be rebuilt from IaC.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Continuous</w:t>
            </w:r>
          </w:p>
        </w:tc>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before="20"/>
            </w:pPr>
            <w:r>
              <w:rPr>
                <w:sz w:val="18"/>
                <w:szCs w:val="18"/>
              </w:rPr>
              <w:t xml:space="preserve">Architecture diagram; multi-AZ config export</w:t>
            </w:r>
          </w:p>
        </w:tc>
      </w:tr>
    </w:tbl>
    <w:p>
      <w:pPr>
        <w:pStyle w:val="Heading1"/>
      </w:pPr>
      <w:r>
        <w:t xml:space="preserve">8. Related documents</w:t>
      </w:r>
    </w:p>
    <w:p>
      <w:pPr>
        <w:pStyle w:val="ListParagraph"/>
        <w:numPr>
          <w:ilvl w:val="0"/>
          <w:numId w:val="3"/>
        </w:numPr>
        <w:spacing w:after="60"/>
      </w:pPr>
      <w:r>
        <w:t xml:space="preserve">POL-01 Information Security Policy</w:t>
      </w:r>
    </w:p>
    <w:p>
      <w:pPr>
        <w:pStyle w:val="ListParagraph"/>
        <w:numPr>
          <w:ilvl w:val="0"/>
          <w:numId w:val="3"/>
        </w:numPr>
        <w:spacing w:after="60"/>
      </w:pPr>
      <w:r>
        <w:t xml:space="preserve">DES-001 Subsystem Integration Design for SOC 2 Compliance</w:t>
      </w:r>
    </w:p>
    <w:p>
      <w:pPr>
        <w:pStyle w:val="ListParagraph"/>
        <w:numPr>
          <w:ilvl w:val="0"/>
          <w:numId w:val="3"/>
        </w:numPr>
        <w:spacing w:after="60"/>
      </w:pPr>
      <w:r>
        <w:t xml:space="preserve">XLS-001 SOC 2 Control Matrix &amp; Evidence Tracker</w:t>
      </w:r>
    </w:p>
    <w:sectPr>
      <w:headerReference w:type="defaul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6"/>
        <w:szCs w:val="16"/>
      </w:rPr>
      <w:t xml:space="preserve">[Company Name] — Controlled document. Printed copies are uncontrolled.</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color w:val="595959"/>
        <w:sz w:val="16"/>
        <w:szCs w:val="16"/>
      </w:rPr>
      <w:t xml:space="preserve">POL-08  Business Continuity &amp; Disaster Recovery Policy</w:t>
    </w:r>
    <w:r>
      <w:rPr>
        <w:color w:val="595959"/>
        <w:sz w:val="16"/>
        <w:szCs w:val="16"/>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00"/>
      </w:pPr>
    </w:lvl>
    <w:lvl w:ilvl="1" w15:tentative="1">
      <w:start w:val="1"/>
      <w:numFmt w:val="bullet"/>
      <w:lvlText w:val="◦"/>
      <w:lvlJc w:val="left"/>
      <w:pPr>
        <w:ind w:left="720" w:hanging="30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bullet"/>
      <w:lvlText w:val="◦"/>
      <w:lvlJc w:val="left"/>
      <w:pPr>
        <w:ind w:left="7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1F3864"/>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Continuity &amp; Disaster Recovery Policy</dc:title>
  <dc:creator>SOC 2 Audit Package</dc:creator>
  <cp:lastModifiedBy>Un-named</cp:lastModifiedBy>
  <cp:revision>1</cp:revision>
  <dcterms:created xsi:type="dcterms:W3CDTF">2026-09-24T21:55:38.605Z</dcterms:created>
  <dcterms:modified xsi:type="dcterms:W3CDTF">2026-09-24T21:55:38.605Z</dcterms:modified>
</cp:coreProperties>
</file>

<file path=docProps/custom.xml><?xml version="1.0" encoding="utf-8"?>
<Properties xmlns="http://schemas.openxmlformats.org/officeDocument/2006/custom-properties" xmlns:vt="http://schemas.openxmlformats.org/officeDocument/2006/docPropsVTypes"/>
</file>