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Data Classification, Encryption &amp;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POL-09</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CISO / Security Lead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CEO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 CC6.5, CC6.7</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Define how information is classified and the protections, encryption, retention and disposal requirements for each classification.</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97"/>
        <w:gridCol w:w="6563"/>
      </w:tblGrid>
      <w:tr>
        <w:trPr>
          <w:cantSplit/>
          <w:tblHeader/>
        </w:trPr>
        <w:tc>
          <w:tcPr>
            <w:tcW w:type="dxa" w:w="279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65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27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Data owners</w:t>
            </w:r>
          </w:p>
        </w:tc>
        <w:tc>
          <w:tcPr>
            <w:tcW w:type="dxa" w:w="6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Classify data; approve access and sharing.</w:t>
            </w:r>
          </w:p>
        </w:tc>
      </w:tr>
      <w:tr>
        <w:trPr>
          <w:cantSplit/>
          <w:tblHeader w:val="false"/>
        </w:trPr>
        <w:tc>
          <w:tcPr>
            <w:tcW w:type="dxa" w:w="27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Platform Engineering</w:t>
            </w:r>
          </w:p>
        </w:tc>
        <w:tc>
          <w:tcPr>
            <w:tcW w:type="dxa" w:w="6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Implements encryption and key management.</w:t>
            </w:r>
          </w:p>
        </w:tc>
      </w:tr>
      <w:tr>
        <w:trPr>
          <w:cantSplit/>
          <w:tblHeader w:val="false"/>
        </w:trPr>
        <w:tc>
          <w:tcPr>
            <w:tcW w:type="dxa" w:w="27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All personnel</w:t>
            </w:r>
          </w:p>
        </w:tc>
        <w:tc>
          <w:tcPr>
            <w:tcW w:type="dxa" w:w="6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Handle data according to its classification.</w:t>
            </w:r>
          </w:p>
        </w:tc>
      </w:tr>
    </w:tbl>
    <w:p>
      <w:pPr>
        <w:spacing w:after="80"/>
      </w:pPr>
    </w:p>
    <w:p>
      <w:pPr>
        <w:pStyle w:val="Heading1"/>
      </w:pPr>
      <w:r>
        <w:t xml:space="preserve">4. Policy</w:t>
      </w:r>
    </w:p>
    <w:p>
      <w:pPr>
        <w:pStyle w:val="Heading2"/>
      </w:pPr>
      <w:r>
        <w:t xml:space="preserve">4.1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4"/>
        <w:gridCol w:w="4008"/>
        <w:gridCol w:w="3748"/>
      </w:tblGrid>
      <w:tr>
        <w:trPr>
          <w:cantSplit/>
          <w:tblHeader/>
        </w:trPr>
        <w:tc>
          <w:tcPr>
            <w:tcW w:type="dxa" w:w="16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Level</w:t>
            </w:r>
          </w:p>
        </w:tc>
        <w:tc>
          <w:tcPr>
            <w:tcW w:type="dxa" w:w="40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Description</w:t>
            </w:r>
          </w:p>
        </w:tc>
        <w:tc>
          <w:tcPr>
            <w:tcW w:type="dxa" w:w="374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Examples</w:t>
            </w:r>
          </w:p>
        </w:tc>
      </w:tr>
      <w:tr>
        <w:trPr>
          <w:cantSplit/>
          <w:tblHeader w:val="false"/>
        </w:trPr>
        <w:tc>
          <w:tcPr>
            <w:tcW w:type="dxa" w:w="16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Restricted</w:t>
            </w:r>
          </w:p>
        </w:tc>
        <w:tc>
          <w:tcPr>
            <w:tcW w:type="dxa" w:w="4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Highest sensitivity; unauthorized disclosure causes severe harm</w:t>
            </w:r>
          </w:p>
        </w:tc>
        <w:tc>
          <w:tcPr>
            <w:tcW w:type="dxa" w:w="3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Customer content, secrets and keys, production backups</w:t>
            </w:r>
          </w:p>
        </w:tc>
      </w:tr>
      <w:tr>
        <w:trPr>
          <w:cantSplit/>
          <w:tblHeader w:val="false"/>
        </w:trPr>
        <w:tc>
          <w:tcPr>
            <w:tcW w:type="dxa" w:w="16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Confidential</w:t>
            </w:r>
          </w:p>
        </w:tc>
        <w:tc>
          <w:tcPr>
            <w:tcW w:type="dxa" w:w="4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Sensitive business or personal data</w:t>
            </w:r>
          </w:p>
        </w:tc>
        <w:tc>
          <w:tcPr>
            <w:tcW w:type="dxa" w:w="3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Customer account PII, source code, employee data, audit logs</w:t>
            </w:r>
          </w:p>
        </w:tc>
      </w:tr>
      <w:tr>
        <w:trPr>
          <w:cantSplit/>
          <w:tblHeader w:val="false"/>
        </w:trPr>
        <w:tc>
          <w:tcPr>
            <w:tcW w:type="dxa" w:w="16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Internal</w:t>
            </w:r>
          </w:p>
        </w:tc>
        <w:tc>
          <w:tcPr>
            <w:tcW w:type="dxa" w:w="4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Not for public release; low harm</w:t>
            </w:r>
          </w:p>
        </w:tc>
        <w:tc>
          <w:tcPr>
            <w:tcW w:type="dxa" w:w="3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 docs, runbooks</w:t>
            </w:r>
          </w:p>
        </w:tc>
      </w:tr>
      <w:tr>
        <w:trPr>
          <w:cantSplit/>
          <w:tblHeader w:val="false"/>
        </w:trPr>
        <w:tc>
          <w:tcPr>
            <w:tcW w:type="dxa" w:w="16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Public</w:t>
            </w:r>
          </w:p>
        </w:tc>
        <w:tc>
          <w:tcPr>
            <w:tcW w:type="dxa" w:w="4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Approved for public release</w:t>
            </w:r>
          </w:p>
        </w:tc>
        <w:tc>
          <w:tcPr>
            <w:tcW w:type="dxa" w:w="3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Marketing site, published docs</w:t>
            </w:r>
          </w:p>
        </w:tc>
      </w:tr>
    </w:tbl>
    <w:p>
      <w:pPr>
        <w:spacing w:after="80"/>
      </w:pPr>
    </w:p>
    <w:p>
      <w:pPr>
        <w:pStyle w:val="Heading2"/>
      </w:pPr>
      <w:r>
        <w:t xml:space="preserve">4.2 Handling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0"/>
        <w:gridCol w:w="2655"/>
        <w:gridCol w:w="2213"/>
        <w:gridCol w:w="1982"/>
      </w:tblGrid>
      <w:tr>
        <w:trPr>
          <w:cantSplit/>
          <w:tblHeader/>
        </w:trPr>
        <w:tc>
          <w:tcPr>
            <w:tcW w:type="dxa" w:w="25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Requirement</w:t>
            </w:r>
          </w:p>
        </w:tc>
        <w:tc>
          <w:tcPr>
            <w:tcW w:type="dxa" w:w="26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Restricted</w:t>
            </w:r>
          </w:p>
        </w:tc>
        <w:tc>
          <w:tcPr>
            <w:tcW w:type="dxa" w:w="2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Confidential</w:t>
            </w:r>
          </w:p>
        </w:tc>
        <w:tc>
          <w:tcPr>
            <w:tcW w:type="dxa" w:w="19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Internal</w:t>
            </w:r>
          </w:p>
        </w:tc>
      </w:tr>
      <w:tr>
        <w:trPr>
          <w:cantSplit/>
          <w:tblHeader w:val="false"/>
        </w:trPr>
        <w:tc>
          <w:tcPr>
            <w:tcW w:type="dxa" w:w="2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Encryption in transit (TLS 1.2+)</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w:t>
            </w:r>
          </w:p>
        </w:tc>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w:t>
            </w:r>
          </w:p>
        </w:tc>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w:t>
            </w:r>
          </w:p>
        </w:tc>
      </w:tr>
      <w:tr>
        <w:trPr>
          <w:cantSplit/>
          <w:tblHeader w:val="false"/>
        </w:trPr>
        <w:tc>
          <w:tcPr>
            <w:tcW w:type="dxa" w:w="2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Encryption at rest</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 KMS-managed keys</w:t>
            </w:r>
          </w:p>
        </w:tc>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w:t>
            </w:r>
          </w:p>
        </w:tc>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Recommended</w:t>
            </w:r>
          </w:p>
        </w:tc>
      </w:tr>
      <w:tr>
        <w:trPr>
          <w:cantSplit/>
          <w:tblHeader w:val="false"/>
        </w:trPr>
        <w:tc>
          <w:tcPr>
            <w:tcW w:type="dxa" w:w="2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Access</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Need-to-know; JIT for human access</w:t>
            </w:r>
          </w:p>
        </w:tc>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Role-based</w:t>
            </w:r>
          </w:p>
        </w:tc>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personnel</w:t>
            </w:r>
          </w:p>
        </w:tc>
      </w:tr>
      <w:tr>
        <w:trPr>
          <w:cantSplit/>
          <w:tblHeader w:val="false"/>
        </w:trPr>
        <w:tc>
          <w:tcPr>
            <w:tcW w:type="dxa" w:w="2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Storage locations</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Approved production stores only</w:t>
            </w:r>
          </w:p>
        </w:tc>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Approved company systems</w:t>
            </w:r>
          </w:p>
        </w:tc>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Approved company systems</w:t>
            </w:r>
          </w:p>
        </w:tc>
      </w:tr>
      <w:tr>
        <w:trPr>
          <w:cantSplit/>
          <w:tblHeader w:val="false"/>
        </w:trPr>
        <w:tc>
          <w:tcPr>
            <w:tcW w:type="dxa" w:w="2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Transfer outside company</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Prohibited without Security approval</w:t>
            </w:r>
          </w:p>
        </w:tc>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Approved tools, NDA in place</w:t>
            </w:r>
          </w:p>
        </w:tc>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Manager discretion</w:t>
            </w:r>
          </w:p>
        </w:tc>
      </w:tr>
      <w:tr>
        <w:trPr>
          <w:cantSplit/>
          <w:tblHeader w:val="false"/>
        </w:trPr>
        <w:tc>
          <w:tcPr>
            <w:tcW w:type="dxa" w:w="2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Non-production use</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Prohibited unless masked and approved</w:t>
            </w:r>
          </w:p>
        </w:tc>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Allowed with care</w:t>
            </w:r>
          </w:p>
        </w:tc>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Allowed</w:t>
            </w:r>
          </w:p>
        </w:tc>
      </w:tr>
    </w:tbl>
    <w:p>
      <w:pPr>
        <w:spacing w:after="80"/>
      </w:pPr>
    </w:p>
    <w:p>
      <w:pPr>
        <w:pStyle w:val="Heading2"/>
      </w:pPr>
      <w:r>
        <w:t xml:space="preserve">4.3 Cryptography</w:t>
      </w:r>
    </w:p>
    <w:p>
      <w:pPr>
        <w:pStyle w:val="ListParagraph"/>
        <w:numPr>
          <w:ilvl w:val="0"/>
          <w:numId w:val="2"/>
        </w:numPr>
        <w:spacing w:after="60"/>
      </w:pPr>
      <w:r>
        <w:t xml:space="preserve">Approved algorithms: AES-256 (or AES-128-GCM) for data at rest; TLS 1.2+ with modern cipher suites; SHA-256 or stronger for hashing; bcrypt/scrypt/Argon2 for password storage.</w:t>
      </w:r>
    </w:p>
    <w:p>
      <w:pPr>
        <w:pStyle w:val="ListParagraph"/>
        <w:numPr>
          <w:ilvl w:val="0"/>
          <w:numId w:val="2"/>
        </w:numPr>
        <w:spacing w:after="60"/>
      </w:pPr>
      <w:r>
        <w:t xml:space="preserve">Keys are managed in KMS/HSM-backed services; key access is restricted to workloads that need it and is logged; keys are rotated annually or per provider automatic rotation.</w:t>
      </w:r>
    </w:p>
    <w:p>
      <w:pPr>
        <w:pStyle w:val="Heading2"/>
      </w:pPr>
      <w:r>
        <w:t xml:space="preserve">4.4 Data loss prevention</w:t>
      </w:r>
    </w:p>
    <w:p>
      <w:pPr>
        <w:spacing w:after="120"/>
      </w:pPr>
      <w:r>
        <w:t xml:space="preserve">Public access to storage is blocked by default at the organization level. Egress from production is restricted where feasible. Removable media is </w:t>
      </w:r>
      <w:r>
        <w:rPr>
          <w:highlight w:val="yellow"/>
          <w:highlightCs w:val="yellow"/>
        </w:rPr>
        <w:t xml:space="preserve">[blocked / restricted]</w:t>
      </w:r>
      <w:r>
        <w:t xml:space="preserve"> on endpoints.</w:t>
      </w:r>
    </w:p>
    <w:p>
      <w:pPr>
        <w:pStyle w:val="Heading2"/>
      </w:pPr>
      <w:r>
        <w:t xml:space="preserve">4.5 Retention and disposal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6"/>
        <w:gridCol w:w="7474"/>
      </w:tblGrid>
      <w:tr>
        <w:trPr>
          <w:cantSplit/>
          <w:tblHeader/>
        </w:trPr>
        <w:tc>
          <w:tcPr>
            <w:tcW w:type="dxa" w:w="18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Record</w:t>
            </w:r>
          </w:p>
        </w:tc>
        <w:tc>
          <w:tcPr>
            <w:tcW w:type="dxa" w:w="74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Retention</w:t>
            </w:r>
          </w:p>
        </w:tc>
      </w:tr>
      <w:tr>
        <w:trPr>
          <w:cantSplit/>
          <w:tblHeader w:val="false"/>
        </w:trPr>
        <w:tc>
          <w:tcPr>
            <w:tcW w:type="dxa" w:w="18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Customer data</w:t>
            </w:r>
          </w:p>
        </w:tc>
        <w:tc>
          <w:tcPr>
            <w:tcW w:type="dxa" w:w="7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Contract term; deleted within </w:t>
            </w:r>
            <w:r>
              <w:rPr>
                <w:sz w:val="18"/>
                <w:szCs w:val="18"/>
                <w:highlight w:val="yellow"/>
                <w:highlightCs w:val="yellow"/>
              </w:rPr>
              <w:t xml:space="preserve">[30]</w:t>
            </w:r>
            <w:r>
              <w:rPr>
                <w:sz w:val="18"/>
                <w:szCs w:val="18"/>
              </w:rPr>
              <w:t xml:space="preserve"> days after termination (backups age out within </w:t>
            </w:r>
            <w:r>
              <w:rPr>
                <w:sz w:val="18"/>
                <w:szCs w:val="18"/>
                <w:highlight w:val="yellow"/>
                <w:highlightCs w:val="yellow"/>
              </w:rPr>
              <w:t xml:space="preserve">[35]</w:t>
            </w:r>
            <w:r>
              <w:rPr>
                <w:sz w:val="18"/>
                <w:szCs w:val="18"/>
              </w:rPr>
              <w:t xml:space="preserve"> days)</w:t>
            </w:r>
          </w:p>
        </w:tc>
      </w:tr>
      <w:tr>
        <w:trPr>
          <w:cantSplit/>
          <w:tblHeader w:val="false"/>
        </w:trPr>
        <w:tc>
          <w:tcPr>
            <w:tcW w:type="dxa" w:w="18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Audit logs</w:t>
            </w:r>
          </w:p>
        </w:tc>
        <w:tc>
          <w:tcPr>
            <w:tcW w:type="dxa" w:w="7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Minimum 12 months</w:t>
            </w:r>
          </w:p>
        </w:tc>
      </w:tr>
      <w:tr>
        <w:trPr>
          <w:cantSplit/>
          <w:tblHeader w:val="false"/>
        </w:trPr>
        <w:tc>
          <w:tcPr>
            <w:tcW w:type="dxa" w:w="18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Audit evidence</w:t>
            </w:r>
          </w:p>
        </w:tc>
        <w:tc>
          <w:tcPr>
            <w:tcW w:type="dxa" w:w="7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Observation period + </w:t>
            </w:r>
            <w:r>
              <w:rPr>
                <w:sz w:val="18"/>
                <w:szCs w:val="18"/>
                <w:highlight w:val="yellow"/>
                <w:highlightCs w:val="yellow"/>
              </w:rPr>
              <w:t xml:space="preserve">[7]</w:t>
            </w:r>
            <w:r>
              <w:rPr>
                <w:sz w:val="18"/>
                <w:szCs w:val="18"/>
              </w:rPr>
              <w:t xml:space="preserve"> years</w:t>
            </w:r>
          </w:p>
        </w:tc>
      </w:tr>
      <w:tr>
        <w:trPr>
          <w:cantSplit/>
          <w:tblHeader w:val="false"/>
        </w:trPr>
        <w:tc>
          <w:tcPr>
            <w:tcW w:type="dxa" w:w="18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Employee records</w:t>
            </w:r>
          </w:p>
        </w:tc>
        <w:tc>
          <w:tcPr>
            <w:tcW w:type="dxa" w:w="74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legal requirements</w:t>
            </w:r>
          </w:p>
        </w:tc>
      </w:tr>
    </w:tbl>
    <w:p>
      <w:pPr>
        <w:spacing w:after="80"/>
      </w:pPr>
    </w:p>
    <w:p>
      <w:pPr>
        <w:spacing w:after="120"/>
      </w:pPr>
      <w:r>
        <w:t xml:space="preserve">Disposal: data is deleted using provider deletion APIs and crypto-shredding where applicable; endpoints are wiped via MDM before reassignment or disposal; physical media destruction at data centers is performed by the cloud provider (sub-service organization).</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Encryption in transit.</w:t>
            </w:r>
            <w:r>
              <w:rPr>
                <w:sz w:val="18"/>
                <w:szCs w:val="18"/>
              </w:rPr>
              <w:t xml:space="preserve"> External and internal service traffic uses TLS 1.2+; weak ciphers are disabled.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Load balancer TLS policy; TLS scan results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Encryption at rest and key management.</w:t>
            </w:r>
            <w:r>
              <w:rPr>
                <w:sz w:val="18"/>
                <w:szCs w:val="18"/>
              </w:rPr>
              <w:t xml:space="preserve"> Production data stores, backups and volumes are encrypted at rest using managed KMS keys; key access is restricted and key usage logged.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Encryption settings export; KMS key policies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Secrets management.</w:t>
            </w:r>
            <w:r>
              <w:rPr>
                <w:sz w:val="18"/>
                <w:szCs w:val="18"/>
              </w:rPr>
              <w:t xml:space="preserve"> Application and pipeline secrets are stored in a secrets manager, injected at runtime, and never committed to source; secret scanning is enforced with push protection.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Secrets manager config; push-protection setting; scanning alerts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Data disposal and media sanitization.</w:t>
            </w:r>
            <w:r>
              <w:rPr>
                <w:sz w:val="18"/>
                <w:szCs w:val="18"/>
              </w:rPr>
              <w:t xml:space="preserve"> Customer data is deleted per contract/retention schedule; decommissioned endpoints are wiped; cloud provider media destruction relied upon via CUEC/sub-service SOC report.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Deletion tickets/logs; device wipe records; cloud provider SOC 2 review</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INF-11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Data loss prevention / egress restrictions.</w:t>
            </w:r>
            <w:r>
              <w:rPr>
                <w:sz w:val="18"/>
                <w:szCs w:val="18"/>
              </w:rPr>
              <w:t xml:space="preserve"> Transfer of confidential data outside approved systems is restricted (egress controls, storage bucket public-access blocks, DLP on email/SaaS where applicable).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Public access block config; egress rules; DLP policy</w:t>
            </w:r>
          </w:p>
        </w:tc>
      </w:tr>
    </w:tbl>
    <w:p>
      <w:pPr>
        <w:pStyle w:val="Heading1"/>
      </w:pPr>
      <w:r>
        <w:t xml:space="preserve">8. Related documents</w:t>
      </w:r>
    </w:p>
    <w:p>
      <w:pPr>
        <w:pStyle w:val="ListParagraph"/>
        <w:numPr>
          <w:ilvl w:val="0"/>
          <w:numId w:val="3"/>
        </w:numPr>
        <w:spacing w:after="60"/>
      </w:pPr>
      <w:r>
        <w:t xml:space="preserve">POL-01 Information Security Policy</w:t>
      </w:r>
    </w:p>
    <w:p>
      <w:pPr>
        <w:pStyle w:val="ListParagraph"/>
        <w:numPr>
          <w:ilvl w:val="0"/>
          <w:numId w:val="3"/>
        </w:numPr>
        <w:spacing w:after="60"/>
      </w:pPr>
      <w:r>
        <w:t xml:space="preserve">DES-001 Subsystem Integration Design for SOC 2 Compliance</w:t>
      </w:r>
    </w:p>
    <w:p>
      <w:pPr>
        <w:pStyle w:val="ListParagraph"/>
        <w:numPr>
          <w:ilvl w:val="0"/>
          <w:numId w:val="3"/>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POL-09  Data Classification, Encryption &amp; Retention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Classification, Encryption &amp; Retention Policy</dc:title>
  <dc:creator>SOC 2 Audit Package</dc:creator>
  <cp:lastModifiedBy>Un-named</cp:lastModifiedBy>
  <cp:revision>1</cp:revision>
  <dcterms:created xsi:type="dcterms:W3CDTF">2026-09-24T21:55:38.629Z</dcterms:created>
  <dcterms:modified xsi:type="dcterms:W3CDTF">2026-09-24T21:55:38.629Z</dcterms:modified>
</cp:coreProperties>
</file>

<file path=docProps/custom.xml><?xml version="1.0" encoding="utf-8"?>
<Properties xmlns="http://schemas.openxmlformats.org/officeDocument/2006/custom-properties" xmlns:vt="http://schemas.openxmlformats.org/officeDocument/2006/docPropsVTypes"/>
</file>