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Incident Response Plan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Operational playbook implementing POL-05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PLN-01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Confidential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[CISO / Security Lead]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[CEO]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CC7.3, CC7.4, CC7.5, CC2.3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plan tells responders exactly what to do when a security event may be an incident. It implements the Incident Response Policy (POL-05) and uses the subsystems described in DES-001: SIEM for detection, on-call for paging, ITSM for the incident record, and the evidence store for preservation.</w:t>
      </w:r>
    </w:p>
    <w:p>
      <w:pPr>
        <w:pStyle w:val="Heading1"/>
      </w:pPr>
      <w:r>
        <w:t xml:space="preserve">2. Contacts and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2148"/>
        <w:gridCol w:w="932"/>
        <w:gridCol w:w="2841"/>
      </w:tblGrid>
      <w:tr>
        <w:trPr>
          <w:cantSplit/>
          <w:tblHeader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Incident Commander (IC) rotation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[On-call schedule / phone]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Security on-call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[Pager]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SRE on-call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[Pager]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Legal / Privacy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[Phone]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[Phone]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[Phone]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External IR retainer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[Firm]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[Hotline]</w:t>
            </w:r>
          </w:p>
        </w:tc>
      </w:tr>
      <w:tr>
        <w:trPr>
          <w:cantSplit/>
          <w:tblHeader w:val="false"/>
        </w:trPr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Cyber insurer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[Carrier, policy #]</w:t>
            </w:r>
          </w:p>
        </w:tc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[Hotline]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Severity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056"/>
        <w:gridCol w:w="1535"/>
        <w:gridCol w:w="1208"/>
        <w:gridCol w:w="1202"/>
        <w:gridCol w:w="1203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 required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Exec notice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updates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SEV-1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 customer data breach; production compromise; ransomware; leaked prod credentials used by attacker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Immediately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≤ 1 h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Every 1 h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SEV-2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Suspected privileged account compromise; break-glass use unexplained; critical control disabled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Immediately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≤ 4 h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Every 4 h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SEV-3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Malware contained on endpoint; secret committed but not used; policy violation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 summary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SEV-4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Suspicious but unconfirmed activity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 ticket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Response phases</w:t>
      </w:r>
    </w:p>
    <w:p>
      <w:pPr>
        <w:pStyle w:val="Heading2"/>
      </w:pPr>
      <w:r>
        <w:t xml:space="preserve">4.1 Detect and triage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arrives from SIEM, monitoring, employee report or customer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On-call acknowledges and opens an incident ticket in ITSM (type </w:t>
      </w:r>
      <w:r>
        <w:rPr>
          <w:b/>
          <w:bCs/>
        </w:rPr>
        <w:t xml:space="preserve">Security Incident</w:t>
      </w:r>
      <w:r>
        <w:t xml:space="preserve">) — this is the system of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Determine: Is this a security incident? What systems and data are affected? Assign severity.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SEV-1/2: page IC, open a dedicated incident channel, start the timeline.</w:t>
      </w:r>
    </w:p>
    <w:p>
      <w:pPr>
        <w:pStyle w:val="Heading2"/>
      </w:pPr>
      <w:r>
        <w:t xml:space="preserve">4.2 Contain</w:t>
      </w:r>
    </w:p>
    <w:p>
      <w:pPr>
        <w:spacing w:after="120"/>
      </w:pPr>
      <w:r>
        <w:t xml:space="preserve">Choose containment appropriate to the subsystem: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7387"/>
      </w:tblGrid>
      <w:tr>
        <w:trPr>
          <w:cantSplit/>
          <w:tblHeader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Containment actions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Suspend user; revoke sessions and tokens; reset MFA; block IP / geo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Revoke PATs/deploy keys/app tokens; lock branch; remove collaborator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Disable workflow/pipeline; rotate pipeline secrets; revoke OIDC trust temporarily; drain runners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Detach/deny policies on compromised role; rotate keys; isolate instance (quarantine security group); snapshot for forensics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Cordon/isolate node; delete compromised pod after capture; revoke service account tokens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Rotate affected secrets; review access log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Network-isolate via EDR; lock/wipe via MDM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Preserve evidence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Snapshot affected disks/volumes and export relevant logs to the evidence store under </w:t>
      </w:r>
      <w:r>
        <w:rPr>
          <w:rFonts w:ascii="Consolas" w:cs="Consolas" w:eastAsia="Consolas" w:hAnsi="Consolas"/>
          <w:sz w:val="19"/>
          <w:szCs w:val="19"/>
        </w:rPr>
        <w:t xml:space="preserve">incidents/&lt;incident-id&gt;/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SHA-256 hashes and who collected what, when (chain of custody log).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power off systems before capture unless required to stop active harm.</w:t>
      </w:r>
    </w:p>
    <w:p>
      <w:pPr>
        <w:pStyle w:val="Heading2"/>
      </w:pPr>
      <w:r>
        <w:t xml:space="preserve">4.4 Eradicate and recover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Remove the root cause (patch, rotate, rebuild from clean image via pipeline).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Restore data from backups if needed (see PLN-02).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Monitor closely for recurrence for at least </w:t>
      </w:r>
      <w:r>
        <w:rPr>
          <w:highlight w:val="yellow"/>
          <w:highlightCs w:val="yellow"/>
        </w:rPr>
        <w:t xml:space="preserve">[14]</w:t>
      </w:r>
      <w:r>
        <w:t xml:space="preserve"> days.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IC declares the incident resolved when services are restored and the threat is removed.</w:t>
      </w:r>
    </w:p>
    <w:p>
      <w:pPr>
        <w:pStyle w:val="Heading2"/>
      </w:pPr>
      <w:r>
        <w:t xml:space="preserve">4.5 Notify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Legal determines notification obligations (contracts, DPAs, laws, regulators).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Customer notifications for confirmed breaches within </w:t>
      </w:r>
      <w:r>
        <w:rPr>
          <w:highlight w:val="yellow"/>
          <w:highlightCs w:val="yellow"/>
        </w:rPr>
        <w:t xml:space="preserve">[72 hours]</w:t>
      </w:r>
      <w:r>
        <w:t xml:space="preserve"> of confirmation or as contractually required, including: what happened, data involved, actions taken, recommended customer actions, contact.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Record every notification (who, when, content) in the incident ticket.</w:t>
      </w:r>
    </w:p>
    <w:p>
      <w:pPr>
        <w:pStyle w:val="Heading2"/>
      </w:pPr>
      <w:r>
        <w:t xml:space="preserve">4.6 Post-incident review</w:t>
      </w:r>
    </w:p>
    <w:p>
      <w:pPr>
        <w:spacing w:after="120"/>
      </w:pPr>
      <w:r>
        <w:t xml:space="preserve">Within </w:t>
      </w:r>
      <w:r>
        <w:rPr>
          <w:highlight w:val="yellow"/>
          <w:highlightCs w:val="yellow"/>
        </w:rPr>
        <w:t xml:space="preserve">[10]</w:t>
      </w:r>
      <w:r>
        <w:t xml:space="preserve"> business days for SEV-1/2, hold a blameless review using the template in TPL-001. Corrective actions become tickets with owners and due dates, tracked at the steering meeting.</w:t>
      </w:r>
    </w:p>
    <w:p>
      <w:pPr>
        <w:pStyle w:val="Heading1"/>
      </w:pPr>
      <w:r>
        <w:t xml:space="preserve">5. Playbooks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6224"/>
      </w:tblGrid>
      <w:tr>
        <w:trPr>
          <w:cantSplit/>
          <w:tblHeader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First 30 minutes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Leaked cloud credential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Identify key owner; disable key; query cloud audit log for its use in last 90 days; rotate dependents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Compromised developer account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Suspend in IdP; revoke SCM tokens; review merged PRs and pipeline runs by the user in the window; check for new deploy keys/webhooks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Malicious pipeline change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Disable affected workflows; review workflow file history; rotate every secret the pipeline could read; verify artifact signatures of recent deploys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Public data exposure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Remove public access; determine exposure window from access logs; identify accessed objects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Ransomware / destructive action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Isolate; verify backup vault immutability; engage IR retainer; restore per PLN-02</w:t>
            </w:r>
          </w:p>
        </w:tc>
      </w:tr>
      <w:tr>
        <w:trPr>
          <w:cantSplit/>
          <w:tblHeader w:val="false"/>
        </w:trPr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Customer-reported vulnerability</w:t>
            </w:r>
          </w:p>
        </w:tc>
        <w:tc>
          <w:tcPr>
            <w:tcW w:type="dxa" w:w="6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Triage per vulnerability SLA; treat as incident if exploitation evidence found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Testing and maintenance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Tabletop exercise at least annually (IR-04), rotating scenarios from Section 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Plan reviewed annually and after every SEV-1.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Contact list verified quarterly.</w:t>
      </w:r>
    </w:p>
    <w:p>
      <w:pPr>
        <w:pStyle w:val="Heading1"/>
      </w:pPr>
      <w:r>
        <w:t xml:space="preserve">7. Controls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3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MON-05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Alert triage and ticketing.</w:t>
            </w:r>
            <w:r>
              <w:rPr>
                <w:sz w:val="18"/>
                <w:szCs w:val="18"/>
              </w:rPr>
              <w:t xml:space="preserve"> Security alerts are triaged within defined SLAs; triage outcome is documented in a ticket.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Alert-to-ticket linkage; triage timestamps for sampled alerts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IR-01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Incident response plan.</w:t>
            </w:r>
            <w:r>
              <w:rPr>
                <w:sz w:val="18"/>
                <w:szCs w:val="18"/>
              </w:rPr>
              <w:t xml:space="preserve"> An incident response plan defines roles, severity levels, communication, evidence preservation and notification obligations; reviewed annually.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IR plan with review date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IR-02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Incident tracking and response.</w:t>
            </w:r>
            <w:r>
              <w:rPr>
                <w:sz w:val="18"/>
                <w:szCs w:val="18"/>
              </w:rPr>
              <w:t xml:space="preserve"> Security incidents are logged, classified, tracked to resolution and communicated per the IR plan, including customer notification when required.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Incident tickets with timeline, severity, notifications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IR-03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Post-incident review.</w:t>
            </w:r>
            <w:r>
              <w:rPr>
                <w:sz w:val="18"/>
                <w:szCs w:val="18"/>
              </w:rPr>
              <w:t xml:space="preserve"> Sev1/Sev2 incidents receive a blameless post-incident review with corrective actions tracked to closure.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Post-incident reports; corrective action tickets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IR-04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Annual IR tabletop exercise.</w:t>
            </w:r>
            <w:r>
              <w:rPr>
                <w:sz w:val="18"/>
                <w:szCs w:val="18"/>
              </w:rPr>
              <w:t xml:space="preserve"> An incident response tabletop exercise is conducted at least annually; lessons learned update the plan.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Tabletop report with attendees and outcomes</w:t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PLN-01  Incident Response Plan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</dc:title>
  <dc:creator>SOC 2 Audit Package</dc:creator>
  <dc:description>Operational playbook implementing POL-05</dc:description>
  <cp:lastModifiedBy>Un-named</cp:lastModifiedBy>
  <cp:revision>1</cp:revision>
  <dcterms:created xsi:type="dcterms:W3CDTF">2026-09-24T21:55:38.691Z</dcterms:created>
  <dcterms:modified xsi:type="dcterms:W3CDTF">2026-09-24T21:55:38.691Z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