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  <w:r>
        <w:rPr>
          <w:color w:val="595959"/>
          <w:sz w:val="24"/>
          <w:szCs w:val="24"/>
          <w:highlight w:val="yellow"/>
          <w:highlightCs w:val="yellow"/>
        </w:rPr>
        <w:t xml:space="preserve">[Company Name]</w:t>
      </w:r>
    </w:p>
    <w:p>
      <w:pPr>
        <w:pBdr>
          <w:bottom w:val="single" w:color="1F3864" w:sz="12" w:space="8"/>
        </w:pBdr>
        <w:spacing w:after="120" w:before="200"/>
      </w:pPr>
      <w:r>
        <w:rPr>
          <w:b/>
          <w:bCs/>
          <w:color w:val="1F3864"/>
          <w:sz w:val="48"/>
          <w:szCs w:val="48"/>
        </w:rPr>
        <w:t xml:space="preserve">Evidence Collection &amp; Audit Readiness Runbook</w:t>
      </w:r>
    </w:p>
    <w:p>
      <w:pPr>
        <w:spacing w:after="400"/>
      </w:pPr>
      <w:r>
        <w:rPr>
          <w:color w:val="595959"/>
          <w:sz w:val="24"/>
          <w:szCs w:val="24"/>
        </w:rPr>
        <w:t xml:space="preserve">How evidence is produced, stored, quality-checked and delivered to the service auditor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cantSplit/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PRC-03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1.0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Internal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[Compliance Manager]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[CISO]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Effective date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[YYYY-MM-DD]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Review cycle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Annually, or upon significant change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SOC 2 criteria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CC2.1, CC4.1, CC4.2</w:t>
            </w:r>
          </w:p>
        </w:tc>
      </w:tr>
    </w:tbl>
    <w:p>
      <w:pPr>
        <w:spacing w:after="120" w:before="360"/>
      </w:pPr>
      <w:r>
        <w:rPr>
          <w:b/>
          <w:bCs/>
          <w:color w:val="1F3864"/>
          <w:sz w:val="22"/>
          <w:szCs w:val="22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500"/>
        <w:gridCol w:w="1800"/>
        <w:gridCol w:w="3260"/>
        <w:gridCol w:w="1800"/>
      </w:tblGrid>
      <w:tr>
        <w:trPr>
          <w:cantSplit/>
          <w:tblHeader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Summary of changes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Approver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[YYYY-MM-DD]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[Name]</w:t>
            </w: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Initial release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  <w:highlight w:val="yellow"/>
                <w:highlightCs w:val="yellow"/>
              </w:rPr>
              <w:t xml:space="preserve">[Name]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3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</w:tr>
    </w:tbl>
    <w:p>
      <w:r>
        <w:br w:type="page"/>
      </w:r>
    </w:p>
    <w:p>
      <w:pPr>
        <w:pStyle w:val="Heading1"/>
      </w:pPr>
      <w:r>
        <w:t xml:space="preserve">1. Audit timeline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9"/>
        <w:gridCol w:w="5663"/>
        <w:gridCol w:w="2008"/>
      </w:tblGrid>
      <w:tr>
        <w:trPr>
          <w:cantSplit/>
          <w:tblHeader/>
        </w:trPr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When</w:t>
            </w:r>
          </w:p>
        </w:tc>
        <w:tc>
          <w:tcPr>
            <w:tcW w:type="dxa" w:w="5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</w:tr>
      <w:tr>
        <w:trPr>
          <w:cantSplit/>
          <w:tblHeader w:val="false"/>
        </w:trPr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T–12 weeks</w:t>
            </w:r>
          </w:p>
        </w:tc>
        <w:tc>
          <w:tcPr>
            <w:tcW w:type="dxa" w:w="5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Confirm scope, period, auditor, sub-service orgs; freeze in-scope system list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CISO, Compliance</w:t>
            </w:r>
          </w:p>
        </w:tc>
      </w:tr>
      <w:tr>
        <w:trPr>
          <w:cantSplit/>
          <w:tblHeader w:val="false"/>
        </w:trPr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T–10 weeks</w:t>
            </w:r>
          </w:p>
        </w:tc>
        <w:tc>
          <w:tcPr>
            <w:tcW w:type="dxa" w:w="5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Readiness assessment / mock audit against Control Matrix; close design gaps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Compliance</w:t>
            </w:r>
          </w:p>
        </w:tc>
      </w:tr>
      <w:tr>
        <w:trPr>
          <w:cantSplit/>
          <w:tblHeader w:val="false"/>
        </w:trPr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T–8 weeks</w:t>
            </w:r>
          </w:p>
        </w:tc>
        <w:tc>
          <w:tcPr>
            <w:tcW w:type="dxa" w:w="5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All collectors running; first evidence pack QA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Platform, Compliance</w:t>
            </w:r>
          </w:p>
        </w:tc>
      </w:tr>
      <w:tr>
        <w:trPr>
          <w:cantSplit/>
          <w:tblHeader w:val="false"/>
        </w:trPr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 (period start)</w:t>
            </w:r>
          </w:p>
        </w:tc>
        <w:tc>
          <w:tcPr>
            <w:tcW w:type="dxa" w:w="5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Observation period starts — controls must operate continuously from here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All</w:t>
            </w:r>
          </w:p>
        </w:tc>
      </w:tr>
      <w:tr>
        <w:trPr>
          <w:cantSplit/>
          <w:tblHeader w:val="false"/>
        </w:trPr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Quarterly</w:t>
            </w:r>
          </w:p>
        </w:tc>
        <w:tc>
          <w:tcPr>
            <w:tcW w:type="dxa" w:w="5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Evidence QA (sample pull), control owner attestations, steering review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Compliance</w:t>
            </w:r>
          </w:p>
        </w:tc>
      </w:tr>
      <w:tr>
        <w:trPr>
          <w:cantSplit/>
          <w:tblHeader w:val="false"/>
        </w:trPr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Period end</w:t>
            </w:r>
          </w:p>
        </w:tc>
        <w:tc>
          <w:tcPr>
            <w:tcW w:type="dxa" w:w="5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Final collector run; freeze evidence; draft management assertion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Compliance</w:t>
            </w:r>
          </w:p>
        </w:tc>
      </w:tr>
      <w:tr>
        <w:trPr>
          <w:cantSplit/>
          <w:tblHeader w:val="false"/>
        </w:trPr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End + 1–2 weeks</w:t>
            </w:r>
          </w:p>
        </w:tc>
        <w:tc>
          <w:tcPr>
            <w:tcW w:type="dxa" w:w="5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Receive PBC list; map to evidence store; upload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Compliance</w:t>
            </w:r>
          </w:p>
        </w:tc>
      </w:tr>
      <w:tr>
        <w:trPr>
          <w:cantSplit/>
          <w:tblHeader w:val="false"/>
        </w:trPr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End + 2–6 weeks</w:t>
            </w:r>
          </w:p>
        </w:tc>
        <w:tc>
          <w:tcPr>
            <w:tcW w:type="dxa" w:w="5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Walkthroughs, sample selection, follow-ups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Control owners</w:t>
            </w:r>
          </w:p>
        </w:tc>
      </w:tr>
      <w:tr>
        <w:trPr>
          <w:cantSplit/>
          <w:tblHeader w:val="false"/>
        </w:trPr>
        <w:tc>
          <w:tcPr>
            <w:tcW w:type="dxa" w:w="168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End + 6–8 weeks</w:t>
            </w:r>
          </w:p>
        </w:tc>
        <w:tc>
          <w:tcPr>
            <w:tcW w:type="dxa" w:w="56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Draft report review; management responses to exceptions; sign assertion</w:t>
            </w:r>
          </w:p>
        </w:tc>
        <w:tc>
          <w:tcPr>
            <w:tcW w:type="dxa" w:w="2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CISO, CEO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2. Evidence standards</w:t>
      </w:r>
    </w:p>
    <w:p>
      <w:pPr>
        <w:spacing w:after="120"/>
      </w:pPr>
      <w:r>
        <w:t xml:space="preserve">Every artifact delivered to the auditor must meet these standards: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Dated</w:t>
      </w:r>
      <w:r>
        <w:t xml:space="preserve"> — shows the date/time it was generated (system timestamp preferred over file date).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Sourced</w:t>
      </w:r>
      <w:r>
        <w:t xml:space="preserve"> — shows which system it came from (URL, system name in screenshot, or API metadata).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Complete</w:t>
      </w:r>
      <w:r>
        <w:t xml:space="preserve"> — populations include the query/filter used and total count.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Unaltered</w:t>
      </w:r>
      <w:r>
        <w:t xml:space="preserve"> — raw exports, not re-typed summaries. Redact only what is necessary (secrets, unrelated PII) and note the redaction.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Attributed</w:t>
      </w:r>
      <w:r>
        <w:t xml:space="preserve"> — approvals show the approver identity and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Named consistently</w:t>
      </w:r>
      <w:r>
        <w:t xml:space="preserve"> — </w:t>
      </w:r>
      <w:r>
        <w:rPr>
          <w:rFonts w:ascii="Consolas" w:cs="Consolas" w:eastAsia="Consolas" w:hAnsi="Consolas"/>
          <w:sz w:val="19"/>
          <w:szCs w:val="19"/>
        </w:rPr>
        <w:t xml:space="preserve">&lt;ControlID&gt;_&lt;Description&gt;_&lt;YYYY-MM-DD&gt;.&lt;ext&gt;</w:t>
      </w:r>
      <w:r>
        <w:t xml:space="preserve">, stored under </w:t>
      </w:r>
      <w:r>
        <w:rPr>
          <w:rFonts w:ascii="Consolas" w:cs="Consolas" w:eastAsia="Consolas" w:hAnsi="Consolas"/>
          <w:sz w:val="19"/>
          <w:szCs w:val="19"/>
        </w:rPr>
        <w:t xml:space="preserve">evidence/&lt;ControlID&gt;/&lt;Period&gt;/</w:t>
      </w:r>
      <w:r>
        <w:t xml:space="preserve">.</w:t>
      </w:r>
    </w:p>
    <w:p>
      <w:pPr>
        <w:spacing w:after="120"/>
      </w:pPr>
      <w:r>
        <w:t xml:space="preserve">Screenshots must show the full browser window including URL and system clock or a timestamp; prefer API exports where possible.</w:t>
      </w:r>
    </w:p>
    <w:p>
      <w:pPr>
        <w:pStyle w:val="Heading1"/>
      </w:pPr>
      <w:r>
        <w:t xml:space="preserve">3. Automated collection</w:t>
      </w:r>
    </w:p>
    <w:p>
      <w:pPr>
        <w:spacing w:after="120"/>
      </w:pPr>
      <w:r>
        <w:t xml:space="preserve">Collector jobs are listed below and in the Evidence Automation tab of XLS-001. Collectors run under read-only identities, are version-controlled in the </w:t>
      </w:r>
      <w:r>
        <w:rPr>
          <w:rFonts w:ascii="Consolas" w:cs="Consolas" w:eastAsia="Consolas" w:hAnsi="Consolas"/>
          <w:sz w:val="19"/>
          <w:szCs w:val="19"/>
        </w:rPr>
        <w:t xml:space="preserve">compliance-collectors</w:t>
      </w:r>
      <w:r>
        <w:t xml:space="preserve"> repository (subject to CHG-01), and write to the WORM evidence store.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050"/>
        <w:gridCol w:w="2300"/>
        <w:gridCol w:w="1000"/>
        <w:gridCol w:w="2060"/>
        <w:gridCol w:w="1200"/>
      </w:tblGrid>
      <w:tr>
        <w:trPr>
          <w:cantSplit/>
          <w:tblHeader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Collector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Output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Controls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col-idp-policy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IDP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REST API: auth policies, MFA factors, app SSO assignments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Nightly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idp/policies/&lt;date&gt;.json + diff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IAM-01, IAM-08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col-idp-users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IDP, HRIS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API: users, status, lastLogin, deactivated_at; HRIS terminations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Daily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iam/leaver-recon/&lt;date&gt;.csv; ticket if SLA breached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IAM-02, IAM-03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col-access-review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IDP, SCM, CLD, CI, SIEM, ITSM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API user &amp; role listings per system; row counts for completeness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Quarterly (1st business day)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access-review/&lt;Qn&gt;/&lt;system&gt;.csv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IAM-04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col-scm-rulesets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GitHub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gh api /orgs/{org}/rulesets (+ /rulesets/{id}); /repos/{o}/{r}/rules/branches/main for soc2_scope repos; diff vs. baseline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Nightly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scm/rulesets/&lt;date&gt;.json + drift alert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CHG-01, CHG-02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col-scm-prs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GitHub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GraphQL search is:pr is:merged base:main merged:&lt;range&gt; → author, mergedBy, APPROVED reviewers, mergeCommit, check runs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Daily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scm/merged-prs/&lt;yyyy-mm&gt;.jsonl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CHG-02, CHG-03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col-deploys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GitHub, ServiceNow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/repos/{o}/{r}/deployments?environment=production + statuses; join ServiceNow change number; attestation reference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Per deploy / daily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deployments/&lt;yyyy-mm&gt;.jsonl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CHG-05, CHG-06, CHG-07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col-cloud-iam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CLD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API: roles, policies, users, access keys &amp; ages; org SCP/policies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Nightly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cloud/iam/&lt;date&gt;.json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IAM-05, IAM-07, CHG-05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col-cloud-audit-query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CLD, SIEM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Saved search: production write API calls by non-pipeline principals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Monthly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cloud/non-pipeline-changes/&lt;yyyy-mm&gt;.csv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CHG-05, MON-01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col-cspm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SEC, CLD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CSPM API: benchmark score, open findings by severity, age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Weekly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cspm/&lt;date&gt;.json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INF-01, INF-02, INF-05, INF-11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col-vulns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SEC, ITSM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Scanner API + ITSM JQL: findings, SLA status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Weekly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vuln/sla/&lt;date&gt;.csv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VUL-01, CHG-04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col-siem-health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SIEM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Query: last event per log source; retention settings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Daily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siem/source-health/&lt;date&gt;.csv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MON-01, MON-02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col-mdm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MDM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API: device list, encryption, OS version, compliance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Weekly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mdm/compliance/&lt;date&gt;.csv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INF-08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col-backups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BKP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API: backup job status, vault lock config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Daily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backup/jobs/&lt;date&gt;.csv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BCP-01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col-hr-training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HRIS / LMS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Report API: training &amp; policy acknowledgment completion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Monthly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hr/training/&lt;yyyy-mm&gt;.csv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HR-02, HR-03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col-inventory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CLD, MDM, SCM, IDP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Asset inventory export (resources, devices, repos, SaaS apps)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Nightly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inventory/&lt;date&gt;/*.csv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INF-07, GOV-08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col-gh-environments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GitHub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/repos/{o}/{r}/environments/production + /deployment_protection_rules; /orgs/{org}/actions/permissions(+/workflow, /selected-actions)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Nightly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gh/environments/&lt;date&gt;.json + drift alert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CHG-05, CHG-11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col-gh-sn-recon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GitHub, ServiceNow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Match GitHub production deployments to ServiceNow change_request (DevOps) by run ID / change number; list unmatched both ways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Monthly + quarterly sign-off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recon/deploy-change/&lt;yyyy-mm&gt;.csv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CHG-06, CHG-05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col-sn-changes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ServiceNow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Table API change_request + sysapproval_approver for period (type, state, approval, requested_by, approver, close_code)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Daily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servicenow/changes/&lt;yyyy-mm&gt;.jsonl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CHG-06, CHG-09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col-sn-access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ServiceNow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Table API sc_req_item (access catalog item) + approvals; sys_user_has_role for privileged roles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Daily / quarterly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servicenow/access/&lt;date&gt;.csv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IAM-02, IAM-04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col-gh-access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GitHub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/orgs/{org}/members(?role=admin), teams, outside_collaborators, personal-access-tokens, installations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Quarterly + weekly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gh/access/&lt;date&gt;/*.csv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IAM-04, IAM-07</w:t>
            </w:r>
          </w:p>
        </w:tc>
      </w:tr>
      <w:tr>
        <w:trPr>
          <w:cantSplit/>
          <w:tblHeader w:val="false"/>
        </w:trPr>
        <w:tc>
          <w:tcPr>
            <w:tcW w:type="dxa" w:w="17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col-gh-alerts</w:t>
            </w:r>
          </w:p>
        </w:tc>
        <w:tc>
          <w:tcPr>
            <w:tcW w:type="dxa" w:w="1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GitHub, ServiceNow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/orgs/{org}/code-scanning|secret-scanning|dependabot/alerts; join ServiceNow ticket + SLA state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Weekly</w:t>
            </w:r>
          </w:p>
        </w:tc>
        <w:tc>
          <w:tcPr>
            <w:tcW w:type="dxa" w:w="2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vuln/github/&lt;date&gt;.csv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CHG-04, VUL-01, INF-06</w:t>
            </w:r>
          </w:p>
        </w:tc>
      </w:tr>
    </w:tbl>
    <w:p>
      <w:pPr>
        <w:spacing w:after="120"/>
      </w:pPr>
      <w:r>
        <w:rPr>
          <w:b/>
          <w:bCs/>
        </w:rPr>
        <w:t xml:space="preserve">When a collector fails:</w:t>
      </w:r>
      <w:r>
        <w:t xml:space="preserve"> the job alerts Compliance. Re-run within 1 business day. If data for a date cannot be recovered, record the gap in the evidence log (date, collector, cause, alternative evidence) — the auditor must be told.</w:t>
      </w:r>
    </w:p>
    <w:p>
      <w:pPr>
        <w:pStyle w:val="Heading1"/>
      </w:pPr>
      <w:r>
        <w:t xml:space="preserve">4. Manual evidence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6"/>
        <w:gridCol w:w="1463"/>
        <w:gridCol w:w="1526"/>
        <w:gridCol w:w="3725"/>
      </w:tblGrid>
      <w:tr>
        <w:trPr>
          <w:cantSplit/>
          <w:tblHeader/>
        </w:trPr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3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When to upload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Board / committee minutes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GOV-02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CEO</w:t>
            </w:r>
          </w:p>
        </w:tc>
        <w:tc>
          <w:tcPr>
            <w:tcW w:type="dxa" w:w="3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Within 2 weeks of meeting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Steering meeting minutes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GOV-04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CISO</w:t>
            </w:r>
          </w:p>
        </w:tc>
        <w:tc>
          <w:tcPr>
            <w:tcW w:type="dxa" w:w="3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Within 1 week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Risk assessment report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RSK-01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CISO</w:t>
            </w:r>
          </w:p>
        </w:tc>
        <w:tc>
          <w:tcPr>
            <w:tcW w:type="dxa" w:w="3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On completion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Vendor review memos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VEN-02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Compliance</w:t>
            </w:r>
          </w:p>
        </w:tc>
        <w:tc>
          <w:tcPr>
            <w:tcW w:type="dxa" w:w="3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On completion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Pen test report and retest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VUL-02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AppSec</w:t>
            </w:r>
          </w:p>
        </w:tc>
        <w:tc>
          <w:tcPr>
            <w:tcW w:type="dxa" w:w="3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On receipt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Restore test results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BCP-02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SRE</w:t>
            </w:r>
          </w:p>
        </w:tc>
        <w:tc>
          <w:tcPr>
            <w:tcW w:type="dxa" w:w="3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Within 1 week of test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DR test / tabletop reports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BCP-03, IR-04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SRE, CISO</w:t>
            </w:r>
          </w:p>
        </w:tc>
        <w:tc>
          <w:tcPr>
            <w:tcW w:type="dxa" w:w="3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Within 2 weeks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Post-incident reviews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IR-03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IC</w:t>
            </w:r>
          </w:p>
        </w:tc>
        <w:tc>
          <w:tcPr>
            <w:tcW w:type="dxa" w:w="3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Within 10 business days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Access review sign-offs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IAM-04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System owners</w:t>
            </w:r>
          </w:p>
        </w:tc>
        <w:tc>
          <w:tcPr>
            <w:tcW w:type="dxa" w:w="3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Within 15 business days of quarter start</w:t>
            </w:r>
          </w:p>
        </w:tc>
      </w:tr>
      <w:tr>
        <w:trPr>
          <w:cantSplit/>
          <w:tblHeader w:val="false"/>
        </w:trPr>
        <w:tc>
          <w:tcPr>
            <w:tcW w:type="dxa" w:w="264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Policy approvals</w:t>
            </w:r>
          </w:p>
        </w:tc>
        <w:tc>
          <w:tcPr>
            <w:tcW w:type="dxa" w:w="146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GOV-01</w:t>
            </w:r>
          </w:p>
        </w:tc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CISO</w:t>
            </w:r>
          </w:p>
        </w:tc>
        <w:tc>
          <w:tcPr>
            <w:tcW w:type="dxa" w:w="37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sz w:val="18"/>
                <w:szCs w:val="18"/>
              </w:rPr>
              <w:t xml:space="preserve">On approval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5. Quarterly evidence QA</w:t>
      </w:r>
    </w:p>
    <w:p>
      <w:pPr>
        <w:spacing w:after="120"/>
      </w:pPr>
      <w:r>
        <w:t xml:space="preserve">Each quarter, Compliance performs a mini-audit to catch problems early: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each control, confirm evidence exists for every occurrence in the quarter (use the Compliance Calendar tab).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For populations, pick 3 random items and trace them end to end (e.g., deployment record → PR → approval → pipeline run → artifact signature).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Check that automated controls' configuration exports show no unapproved drift.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Record results in the quarterly attestation (TPL-001) and ticket any gaps.</w:t>
      </w:r>
    </w:p>
    <w:p>
      <w:pPr>
        <w:pStyle w:val="Heading1"/>
      </w:pPr>
      <w:r>
        <w:t xml:space="preserve">6. Responding to the PBC list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Import the auditor's PBC list into the </w:t>
      </w:r>
      <w:r>
        <w:rPr>
          <w:b/>
          <w:bCs/>
        </w:rPr>
        <w:t xml:space="preserve">PBC Evidence List</w:t>
      </w:r>
      <w:r>
        <w:t xml:space="preserve"> tab (or map auditor request IDs to the pre-built PBC IDs).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Assign each request to the owner shown; set due dates.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Upload evidence from the evidence store to the auditor portal; paste the link in the tracker; set status to </w:t>
      </w:r>
      <w:r>
        <w:rPr>
          <w:i/>
          <w:iCs/>
        </w:rPr>
        <w:t xml:space="preserve">Received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For population requests, provide the full population with query and count. The auditor selects samples; then provide sample evidence.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Track auditor follow-ups in the Auditor Comments column until </w:t>
      </w:r>
      <w:r>
        <w:rPr>
          <w:i/>
          <w:iCs/>
        </w:rPr>
        <w:t xml:space="preserve">Accepted</w:t>
      </w:r>
      <w:r>
        <w:t xml:space="preserve">.</w:t>
      </w:r>
    </w:p>
    <w:p>
      <w:pPr>
        <w:pStyle w:val="Heading1"/>
      </w:pPr>
      <w:r>
        <w:t xml:space="preserve">7. Handling exceptions</w:t>
      </w:r>
    </w:p>
    <w:p>
      <w:pPr>
        <w:spacing w:after="120"/>
      </w:pPr>
      <w:r>
        <w:t xml:space="preserve">If a control did not operate (e.g., a late access removal, a missed quarterly review):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Do not hide or backfill evidence. Document what happened, why, impact analysis (was the access used? was the risk realized?), and remediation.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Discuss early with the auditor; a well-analyzed exception with compensating controls may be reported without affecting the opinion.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Provide a management response for inclusion in the report.</w:t>
      </w:r>
    </w:p>
    <w:p>
      <w:pPr>
        <w:pStyle w:val="Heading1"/>
      </w:pPr>
      <w:r>
        <w:t xml:space="preserve">8. Management assertion</w:t>
      </w:r>
    </w:p>
    <w:p>
      <w:pPr>
        <w:spacing w:after="120"/>
      </w:pPr>
      <w:r>
        <w:t xml:space="preserve">At the end of fieldwork, management signs the assertion letter (template in TPL-001) stating the description is fairly presented and controls were suitably designed and operated effectively. Signatories confirm with Compliance that all known exceptions and incidents were disclosed.</w:t>
      </w:r>
    </w:p>
    <w:sectPr>
      <w:headerReference w:type="default" r:id="rId7"/>
      <w:footerReference w:type="default" r:id="rId8"/>
      <w:footerReference w:type="first" r:id="rId9"/>
      <w:pgSz w:w="12240" w:h="15840" w:orient="portrait"/>
      <w:pgMar w:top="1440" w:right="1440" w:bottom="144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595959"/>
        <w:sz w:val="16"/>
        <w:szCs w:val="16"/>
      </w:rPr>
      <w:t xml:space="preserve">[Company Name] — Controlled document. Printed copies are uncontrolled.</w:t>
    </w:r>
    <w:r>
      <w:rPr>
        <w:color w:val="595959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360"/>
      </w:tabs>
    </w:pPr>
    <w:r>
      <w:rPr>
        <w:color w:val="595959"/>
        <w:sz w:val="16"/>
        <w:szCs w:val="16"/>
      </w:rPr>
      <w:t xml:space="preserve">PRC-03  Evidence Collection &amp; Audit Readiness Runbook</w:t>
    </w:r>
    <w:r>
      <w:rPr>
        <w:color w:val="595959"/>
        <w:sz w:val="16"/>
        <w:szCs w:val="16"/>
      </w:rPr>
      <w:t xml:space="preserve">	Internal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00"/>
      </w:pPr>
    </w:lvl>
    <w:lvl w:ilvl="1" w15:tentative="1">
      <w:start w:val="1"/>
      <w:numFmt w:val="bullet"/>
      <w:lvlText w:val="◦"/>
      <w:lvlJc w:val="left"/>
      <w:pPr>
        <w:ind w:left="7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  <w:lvl w:ilvl="1" w15:tentative="1">
      <w:start w:val="1"/>
      <w:numFmt w:val="bullet"/>
      <w:lvlText w:val="◦"/>
      <w:lvlJc w:val="left"/>
      <w:pPr>
        <w:ind w:left="7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2F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Evidence Collection &amp; Audit Readiness Runbook</dc:title>
  <dc:creator>SOC 2 Audit Package</dc:creator>
  <dc:description>How evidence is produced, stored, quality-checked and delivered to the service auditor</dc:description>
  <cp:lastModifiedBy>Un-named</cp:lastModifiedBy>
  <cp:revision>1</cp:revision>
  <dcterms:created xsi:type="dcterms:W3CDTF">2026-09-24T21:55:38.836Z</dcterms:created>
  <dcterms:modified xsi:type="dcterms:W3CDTF">2026-09-24T21:55:38.836Z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